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34D9" w:rsidRDefault="009A7468" w:rsidP="00434380">
      <w:proofErr w:type="spellStart"/>
      <w:r>
        <w:t>Göttingen</w:t>
      </w:r>
      <w:proofErr w:type="spellEnd"/>
      <w:r>
        <w:t xml:space="preserve"> paper (</w:t>
      </w:r>
      <w:proofErr w:type="spellStart"/>
      <w:r>
        <w:t>ViFaMusik</w:t>
      </w:r>
      <w:proofErr w:type="spellEnd"/>
      <w:r>
        <w:t>)</w:t>
      </w:r>
    </w:p>
    <w:p w:rsidR="009A7468" w:rsidRDefault="009A7468" w:rsidP="00434380"/>
    <w:p w:rsidR="009A7468" w:rsidRDefault="009A7468" w:rsidP="009A7468">
      <w:pPr>
        <w:pStyle w:val="Heading1"/>
      </w:pPr>
      <w:r>
        <w:t xml:space="preserve">Between an Analogue Past and a Digital Future: </w:t>
      </w:r>
    </w:p>
    <w:p w:rsidR="009A7468" w:rsidRDefault="009A7468" w:rsidP="009A7468">
      <w:pPr>
        <w:pStyle w:val="Heading1"/>
      </w:pPr>
      <w:r>
        <w:t>The Evolving Digital Present</w:t>
      </w:r>
    </w:p>
    <w:p w:rsidR="009A7468" w:rsidRDefault="009A7468" w:rsidP="00434380"/>
    <w:p w:rsidR="00FF3AD2" w:rsidRDefault="00FF3AD2" w:rsidP="00434380">
      <w:r>
        <w:t xml:space="preserve">Print media are increasingly confronted with difficult choices.  Should they continue to appear in print, or only in a digital format, or both?  </w:t>
      </w:r>
      <w:r w:rsidR="00D603DA">
        <w:t xml:space="preserve">The bifurcation of </w:t>
      </w:r>
      <w:r>
        <w:t xml:space="preserve">new </w:t>
      </w:r>
      <w:r w:rsidR="00D603DA">
        <w:t>formats is now confronting academic boo</w:t>
      </w:r>
      <w:r>
        <w:t>k publishers.  Should a new monograph</w:t>
      </w:r>
      <w:r w:rsidR="00D603DA">
        <w:t xml:space="preserve"> be made available for a tablet computer? </w:t>
      </w:r>
      <w:proofErr w:type="gramStart"/>
      <w:r w:rsidR="00D603DA">
        <w:t>A smart phone?</w:t>
      </w:r>
      <w:proofErr w:type="gramEnd"/>
      <w:r w:rsidR="00D603DA">
        <w:t xml:space="preserve"> </w:t>
      </w:r>
      <w:r>
        <w:t xml:space="preserve"> Be viewable but not downloadable v</w:t>
      </w:r>
      <w:r w:rsidR="00D603DA">
        <w:t>ia subscription or password</w:t>
      </w:r>
      <w:r>
        <w:t xml:space="preserve"> on the internet</w:t>
      </w:r>
      <w:r w:rsidR="00D603DA">
        <w:t xml:space="preserve">? </w:t>
      </w:r>
      <w:r w:rsidR="009A7468">
        <w:t xml:space="preserve"> </w:t>
      </w:r>
      <w:r w:rsidR="00D603DA">
        <w:t xml:space="preserve">Should </w:t>
      </w:r>
      <w:r>
        <w:t xml:space="preserve">work-in-progress </w:t>
      </w:r>
      <w:r w:rsidR="00D603DA">
        <w:t xml:space="preserve">be archived on </w:t>
      </w:r>
      <w:r>
        <w:t>the user’s</w:t>
      </w:r>
      <w:r w:rsidR="00D603DA">
        <w:t xml:space="preserve"> hard disk or in cloud storage?  </w:t>
      </w:r>
    </w:p>
    <w:p w:rsidR="009A7468" w:rsidRDefault="00FF3AD2" w:rsidP="00434380">
      <w:proofErr w:type="gramStart"/>
      <w:r>
        <w:t>Quite apart from these fundamental decisions, the management of existing digital media.</w:t>
      </w:r>
      <w:proofErr w:type="gramEnd"/>
      <w:r>
        <w:t xml:space="preserve">  If we retrospectively convert sheet music to PDFs and conventional recordings to the formats that make them playable on iPods and similar devices, will we have to convert them from those formats in a decade or two for access on devices that have not yet been invented?  If our journal adopts a digital format, will we have to limit </w:t>
      </w:r>
      <w:r w:rsidR="009A7468">
        <w:t>the length and complexity of articles</w:t>
      </w:r>
      <w:r>
        <w:t xml:space="preserve">, even while proclamations of only </w:t>
      </w:r>
      <w:r w:rsidR="009A7468">
        <w:t>a few years ago</w:t>
      </w:r>
      <w:r>
        <w:t xml:space="preserve"> held that space was unlimited and contributors might provide sound files with their submissions</w:t>
      </w:r>
      <w:r w:rsidR="009A7468">
        <w:t xml:space="preserve">.  </w:t>
      </w:r>
      <w:r w:rsidR="00D603DA">
        <w:t xml:space="preserve">The </w:t>
      </w:r>
      <w:r>
        <w:t xml:space="preserve">shelf-life of </w:t>
      </w:r>
      <w:r w:rsidR="00D603DA">
        <w:t xml:space="preserve">any digital medium in use today </w:t>
      </w:r>
      <w:r>
        <w:t>is uncertain</w:t>
      </w:r>
      <w:r w:rsidR="00D603DA">
        <w:t xml:space="preserve">.  </w:t>
      </w:r>
      <w:proofErr w:type="gramStart"/>
      <w:r w:rsidR="00D603DA">
        <w:t>In whom</w:t>
      </w:r>
      <w:r>
        <w:t>—and what—</w:t>
      </w:r>
      <w:r w:rsidR="00D603DA">
        <w:t>should we entrust the long-term storage of our most valuable works?</w:t>
      </w:r>
      <w:proofErr w:type="gramEnd"/>
      <w:r w:rsidR="00D603DA">
        <w:t xml:space="preserve"> </w:t>
      </w:r>
    </w:p>
    <w:p w:rsidR="009A7468" w:rsidRDefault="00D603DA" w:rsidP="00434380">
      <w:r>
        <w:t xml:space="preserve">However bewildering these questions may be for our colleagues in literary and historical studies, they are far more </w:t>
      </w:r>
      <w:r w:rsidR="00A72966">
        <w:t xml:space="preserve">bewildering </w:t>
      </w:r>
      <w:r>
        <w:t>for musicologists</w:t>
      </w:r>
      <w:r w:rsidR="00A72966">
        <w:t xml:space="preserve">.  The discomforts of </w:t>
      </w:r>
      <w:r w:rsidR="000F0FDC">
        <w:t>a virtual future</w:t>
      </w:r>
      <w:r w:rsidR="00A72966">
        <w:t xml:space="preserve"> in our field </w:t>
      </w:r>
      <w:r>
        <w:t xml:space="preserve">owe </w:t>
      </w:r>
      <w:proofErr w:type="gramStart"/>
      <w:r>
        <w:t>principally</w:t>
      </w:r>
      <w:proofErr w:type="gramEnd"/>
      <w:r>
        <w:t xml:space="preserve"> to the diversity and complexities of the materials on which our discipline is based.  </w:t>
      </w:r>
      <w:r w:rsidR="000F0FDC">
        <w:t>S</w:t>
      </w:r>
      <w:r w:rsidR="009A7468">
        <w:t xml:space="preserve">tudies of music that incorporate musical examples, citations in languages that may require diacritical marks </w:t>
      </w:r>
      <w:r w:rsidR="00A72966">
        <w:t xml:space="preserve">(or alphabetic symbols) </w:t>
      </w:r>
      <w:r w:rsidR="009A7468">
        <w:t>absent in one’s own, and all manner of graphical explanation (</w:t>
      </w:r>
      <w:proofErr w:type="spellStart"/>
      <w:r w:rsidR="009A7468">
        <w:t>Schenkerian</w:t>
      </w:r>
      <w:proofErr w:type="spellEnd"/>
      <w:r w:rsidR="009A7468">
        <w:t xml:space="preserve"> graphs, for example) confront a prospective e-publisher with as many challenges (if not more) than they did in the luxuriously long age of print.  At thi</w:t>
      </w:r>
      <w:r w:rsidR="00A72966">
        <w:t>s writing, popular e-book</w:t>
      </w:r>
      <w:r w:rsidR="009A7468">
        <w:t xml:space="preserve"> venues still do not accommodate footnotes.  All the trappings of the apparatus in which </w:t>
      </w:r>
      <w:r w:rsidR="000F0FDC">
        <w:t xml:space="preserve">our </w:t>
      </w:r>
      <w:r w:rsidR="009A7468">
        <w:t xml:space="preserve">scholarship has </w:t>
      </w:r>
      <w:r w:rsidR="00E8526F">
        <w:t xml:space="preserve">been reported over the </w:t>
      </w:r>
      <w:r w:rsidR="000F0FDC">
        <w:t xml:space="preserve">past </w:t>
      </w:r>
      <w:r w:rsidR="00A72966">
        <w:t>century are</w:t>
      </w:r>
      <w:r w:rsidR="00E8526F">
        <w:t xml:space="preserve"> being cast adrift</w:t>
      </w:r>
      <w:r w:rsidR="00A72966">
        <w:t xml:space="preserve"> at the same time</w:t>
      </w:r>
      <w:r w:rsidR="00E8526F">
        <w:t>.</w:t>
      </w:r>
      <w:r w:rsidR="00F46426">
        <w:t xml:space="preserve">  These are among the uncertainties than dominate the evolving digital present.</w:t>
      </w:r>
    </w:p>
    <w:p w:rsidR="00F46426" w:rsidRDefault="00BB1482" w:rsidP="00BB1482">
      <w:pPr>
        <w:pStyle w:val="Heading2"/>
      </w:pPr>
      <w:r>
        <w:t xml:space="preserve">Exploding </w:t>
      </w:r>
      <w:r w:rsidR="00F46426">
        <w:t>Access to intellectual resources</w:t>
      </w:r>
    </w:p>
    <w:p w:rsidR="00F0753C" w:rsidRDefault="00BF6FFF" w:rsidP="00434380">
      <w:r>
        <w:t xml:space="preserve">Despite the poor fit between the model of a discipline based into perpetuity on print and the realities of the present, we can already embrace </w:t>
      </w:r>
      <w:r w:rsidR="00E8526F">
        <w:t xml:space="preserve">a wealth of new ways of working.  </w:t>
      </w:r>
      <w:r w:rsidR="00F46426">
        <w:t>W</w:t>
      </w:r>
      <w:r>
        <w:t xml:space="preserve">hether </w:t>
      </w:r>
      <w:r w:rsidR="00F46426">
        <w:t xml:space="preserve">(as many fear) </w:t>
      </w:r>
      <w:r>
        <w:t xml:space="preserve">they will </w:t>
      </w:r>
      <w:r w:rsidR="00E8526F">
        <w:t>compromise the standards of the discipline</w:t>
      </w:r>
      <w:r>
        <w:t xml:space="preserve"> will depend on the quality of the oversight they receive</w:t>
      </w:r>
      <w:r w:rsidR="00E8526F">
        <w:t xml:space="preserve">. </w:t>
      </w:r>
      <w:r w:rsidR="00F46426">
        <w:t xml:space="preserve">That, in turn, requires that we strive to remain well-informed about what these new means of access provide.  Even on a cursory glance, it seems probable that </w:t>
      </w:r>
      <w:r>
        <w:t xml:space="preserve">improved access to </w:t>
      </w:r>
      <w:r w:rsidR="00F46426">
        <w:t xml:space="preserve">previously sources previously </w:t>
      </w:r>
      <w:r>
        <w:t xml:space="preserve">available </w:t>
      </w:r>
      <w:r w:rsidR="00F46426">
        <w:t xml:space="preserve">only to </w:t>
      </w:r>
      <w:proofErr w:type="gramStart"/>
      <w:r w:rsidR="00F46426">
        <w:t>specialists</w:t>
      </w:r>
      <w:proofErr w:type="gramEnd"/>
      <w:r w:rsidR="00F46426">
        <w:t xml:space="preserve"> stands to </w:t>
      </w:r>
      <w:r>
        <w:t xml:space="preserve">raise the overall level </w:t>
      </w:r>
      <w:r>
        <w:lastRenderedPageBreak/>
        <w:t xml:space="preserve">of scholarship.  It may bring more breadth of observation to the fore and suppress only those voices of the past that went unchallenged for practical reasons.  </w:t>
      </w:r>
    </w:p>
    <w:p w:rsidR="00E8526F" w:rsidRDefault="00F46426" w:rsidP="00434380">
      <w:r>
        <w:t>To explore these possibilities, which play such a rapidly growing role in current scholarship,</w:t>
      </w:r>
      <w:r w:rsidR="00F0753C">
        <w:t xml:space="preserve"> we offer close-up views of three</w:t>
      </w:r>
      <w:r>
        <w:t xml:space="preserve"> selected topics: </w:t>
      </w:r>
      <w:r w:rsidR="00E8526F">
        <w:t xml:space="preserve">(1) </w:t>
      </w:r>
      <w:r w:rsidR="00BF6FFF">
        <w:t xml:space="preserve">improved access to </w:t>
      </w:r>
      <w:r w:rsidR="00E8526F">
        <w:t xml:space="preserve">graphics and text, (2) </w:t>
      </w:r>
      <w:r w:rsidR="00BF6FFF">
        <w:t xml:space="preserve">improved possibilities for the study of </w:t>
      </w:r>
      <w:r w:rsidR="00E8526F">
        <w:t>performance and audio-based subjects, and (</w:t>
      </w:r>
      <w:r w:rsidR="00F0753C">
        <w:t>3</w:t>
      </w:r>
      <w:r w:rsidR="00E8526F">
        <w:t>) reflections on authority and expertise.</w:t>
      </w:r>
      <w:r w:rsidR="00F0753C">
        <w:t xml:space="preserve">  Along the way, we shall also sample some ways of </w:t>
      </w:r>
      <w:proofErr w:type="gramStart"/>
      <w:r w:rsidR="00F0753C">
        <w:t>working  that</w:t>
      </w:r>
      <w:proofErr w:type="gramEnd"/>
      <w:r w:rsidR="00F0753C">
        <w:t xml:space="preserve"> have never been previously available to anyone anywhere.</w:t>
      </w:r>
    </w:p>
    <w:p w:rsidR="00E8526F" w:rsidRDefault="00F0753C" w:rsidP="00BB1482">
      <w:pPr>
        <w:pStyle w:val="Heading3"/>
        <w:numPr>
          <w:ilvl w:val="0"/>
          <w:numId w:val="5"/>
        </w:numPr>
      </w:pPr>
      <w:r>
        <w:t>graphics</w:t>
      </w:r>
      <w:r w:rsidR="00BB1482">
        <w:t xml:space="preserve"> pure and simple</w:t>
      </w:r>
    </w:p>
    <w:p w:rsidR="007C3FA3" w:rsidRDefault="007C3FA3" w:rsidP="00BB1482">
      <w:r>
        <w:t xml:space="preserve">Images </w:t>
      </w:r>
      <w:r w:rsidR="002B19E8">
        <w:t>a</w:t>
      </w:r>
      <w:r>
        <w:t>nd text make up the core elements of our discipline.  Let us try to imagine the prospects for musicology in the age of Guido Adler.  Adler set few limits on the scope of music</w:t>
      </w:r>
      <w:r w:rsidR="00BB1482">
        <w:t xml:space="preserve"> studies</w:t>
      </w:r>
      <w:r>
        <w:t xml:space="preserve">, though he made a basic distinction between </w:t>
      </w:r>
      <w:r w:rsidR="00BB1482">
        <w:t>chronology-based (</w:t>
      </w:r>
      <w:r>
        <w:t>historical</w:t>
      </w:r>
      <w:r w:rsidR="00BB1482">
        <w:t>)</w:t>
      </w:r>
      <w:r>
        <w:t xml:space="preserve"> and </w:t>
      </w:r>
      <w:r w:rsidR="00BB1482">
        <w:t>spatially-based (</w:t>
      </w:r>
      <w:proofErr w:type="spellStart"/>
      <w:r>
        <w:t>ethnomusicological</w:t>
      </w:r>
      <w:proofErr w:type="spellEnd"/>
      <w:r w:rsidR="00BB1482">
        <w:t>)</w:t>
      </w:r>
      <w:r>
        <w:t xml:space="preserve"> studies.  </w:t>
      </w:r>
      <w:r w:rsidR="00BB1482">
        <w:t xml:space="preserve">To anyone living now it will be clear that the latter field was greatly hampered by a lack of </w:t>
      </w:r>
      <w:r>
        <w:t>recordings (or recording equipment).</w:t>
      </w:r>
      <w:r w:rsidR="00BB1482">
        <w:t xml:space="preserve">  On both branches students were dependent on the written word.</w:t>
      </w:r>
      <w:r>
        <w:t xml:space="preserve">  </w:t>
      </w:r>
      <w:r w:rsidR="00BB1482">
        <w:t>L</w:t>
      </w:r>
      <w:r w:rsidR="00767B32">
        <w:t>ong stream</w:t>
      </w:r>
      <w:r w:rsidR="00BB1482">
        <w:t>s</w:t>
      </w:r>
      <w:r w:rsidR="00767B32">
        <w:t xml:space="preserve"> of scholarly writings began to flow</w:t>
      </w:r>
      <w:r w:rsidR="00BB1482">
        <w:t xml:space="preserve"> in order to expand the field, report on new findings, and refine </w:t>
      </w:r>
      <w:proofErr w:type="spellStart"/>
      <w:r w:rsidR="00BB1482">
        <w:t>oldere</w:t>
      </w:r>
      <w:proofErr w:type="spellEnd"/>
      <w:r w:rsidR="00BB1482">
        <w:t xml:space="preserve"> ones. </w:t>
      </w:r>
      <w:r w:rsidR="00767B32">
        <w:t>Some of these early writings in the discipline still read surprisingly well today.  They are often models of clarity and comprehensiveness.</w:t>
      </w:r>
    </w:p>
    <w:p w:rsidR="00B1329C" w:rsidRDefault="00BB1482" w:rsidP="00E463BA">
      <w:r>
        <w:t xml:space="preserve">Within historical musicology </w:t>
      </w:r>
      <w:r w:rsidR="00767B32">
        <w:t xml:space="preserve">the gap between </w:t>
      </w:r>
      <w:r>
        <w:t xml:space="preserve">access to </w:t>
      </w:r>
      <w:r w:rsidR="00767B32">
        <w:t xml:space="preserve">printed sources and </w:t>
      </w:r>
      <w:r>
        <w:t xml:space="preserve">unpublished ones has been </w:t>
      </w:r>
      <w:r w:rsidR="00767B32">
        <w:t xml:space="preserve">immense.  </w:t>
      </w:r>
      <w:r>
        <w:t>T</w:t>
      </w:r>
      <w:r w:rsidR="003F0F88">
        <w:t>he advent of digitized rare materials seems altogether miraculous</w:t>
      </w:r>
      <w:r>
        <w:t xml:space="preserve"> to those of us who have labored long in libraries and archives in order to gather information from primary sources</w:t>
      </w:r>
      <w:r w:rsidR="003F0F88">
        <w:t xml:space="preserve">.  With no passport, no </w:t>
      </w:r>
      <w:r>
        <w:t xml:space="preserve">travel </w:t>
      </w:r>
      <w:r w:rsidR="003F0F88">
        <w:t xml:space="preserve">ticket, no hotel reservation, </w:t>
      </w:r>
      <w:r>
        <w:t xml:space="preserve">no </w:t>
      </w:r>
      <w:r w:rsidR="003F0F88">
        <w:t>reader’</w:t>
      </w:r>
      <w:r w:rsidR="001A2420">
        <w:t xml:space="preserve">s card, </w:t>
      </w:r>
      <w:r>
        <w:t xml:space="preserve">and no </w:t>
      </w:r>
      <w:proofErr w:type="spellStart"/>
      <w:r>
        <w:t>No</w:t>
      </w:r>
      <w:proofErr w:type="spellEnd"/>
      <w:r>
        <w:t>. 2 pencil, we can nevertheless</w:t>
      </w:r>
      <w:r w:rsidR="00767B32">
        <w:t xml:space="preserve"> sit </w:t>
      </w:r>
      <w:r>
        <w:t xml:space="preserve">at home </w:t>
      </w:r>
      <w:r w:rsidR="00767B32">
        <w:t xml:space="preserve">in an armchair leaf through </w:t>
      </w:r>
      <w:r>
        <w:t xml:space="preserve">many of the monuments of the European musical past.  </w:t>
      </w:r>
      <w:r w:rsidR="00C64C9E">
        <w:t xml:space="preserve"> As one example, I cite </w:t>
      </w:r>
      <w:proofErr w:type="spellStart"/>
      <w:r w:rsidR="00767B32">
        <w:t>Machaut’s</w:t>
      </w:r>
      <w:proofErr w:type="spellEnd"/>
      <w:r w:rsidR="00767B32">
        <w:t xml:space="preserve"> exquisitely presented poetry </w:t>
      </w:r>
      <w:r w:rsidR="004F4C18">
        <w:t>(521 folios in the source I examined</w:t>
      </w:r>
      <w:r w:rsidR="00C64C9E">
        <w:t xml:space="preserve"> virtually from the online holdings of the </w:t>
      </w:r>
      <w:proofErr w:type="spellStart"/>
      <w:r w:rsidR="00C64C9E" w:rsidRPr="0030296C">
        <w:rPr>
          <w:highlight w:val="yellow"/>
        </w:rPr>
        <w:t>Bibliothèque</w:t>
      </w:r>
      <w:proofErr w:type="spellEnd"/>
      <w:r w:rsidR="00C64C9E">
        <w:t xml:space="preserve"> </w:t>
      </w:r>
      <w:proofErr w:type="spellStart"/>
      <w:r w:rsidR="00C64C9E">
        <w:t>Nationale</w:t>
      </w:r>
      <w:proofErr w:type="spellEnd"/>
      <w:r w:rsidR="00C64C9E">
        <w:t xml:space="preserve"> de France, or http://gallica.bnf.fr</w:t>
      </w:r>
      <w:r w:rsidR="004F4C18">
        <w:t>)</w:t>
      </w:r>
      <w:r w:rsidR="00B1329C">
        <w:t xml:space="preserve">.  </w:t>
      </w:r>
      <w:r w:rsidR="00E463BA">
        <w:t xml:space="preserve"> Memories of lessons I once had to grasp from dull grey print rapidly emerged as the </w:t>
      </w:r>
      <w:r w:rsidR="004F4C18">
        <w:t xml:space="preserve">illuminations </w:t>
      </w:r>
      <w:r w:rsidR="00E463BA">
        <w:t xml:space="preserve">of these royal holdings burst into view.  </w:t>
      </w:r>
      <w:r w:rsidR="004F4C18">
        <w:t xml:space="preserve">How dramatically this changes the </w:t>
      </w:r>
      <w:r w:rsidR="00B1329C">
        <w:t>dynamics of teaching and research</w:t>
      </w:r>
      <w:r w:rsidR="004F4C18">
        <w:t xml:space="preserve">!  One can now grasp in an instant </w:t>
      </w:r>
      <w:r w:rsidR="001A2420">
        <w:t>the extraordinary esteem</w:t>
      </w:r>
      <w:r w:rsidR="006D06B7">
        <w:t xml:space="preserve"> in which</w:t>
      </w:r>
      <w:r w:rsidR="004F4C18">
        <w:t xml:space="preserve"> this poet-</w:t>
      </w:r>
      <w:r w:rsidR="004F4C18" w:rsidRPr="00E463BA">
        <w:rPr>
          <w:i/>
        </w:rPr>
        <w:t>cum</w:t>
      </w:r>
      <w:r w:rsidR="004F4C18">
        <w:t xml:space="preserve">-composer was held: the royal monogram impressed on the rich red leather </w:t>
      </w:r>
      <w:r w:rsidR="00B1329C">
        <w:t xml:space="preserve">of the cover </w:t>
      </w:r>
      <w:r w:rsidR="004F4C18">
        <w:t xml:space="preserve">carries its own endorsement.  </w:t>
      </w:r>
      <w:r w:rsidR="00E463BA">
        <w:t xml:space="preserve">The lack of damage to folio edges, which are shown in the profile of the bound volume in the final images, confirm that this object has been handled—for the better part of seven centuries—with great care. </w:t>
      </w:r>
      <w:r w:rsidR="0030296C">
        <w:t xml:space="preserve"> Yet there is a corollary: confinement imposed great deprivations on all the generations that lived from its creation until now.  It is only over the past two or three generations that selected scholars had access to this material.    </w:t>
      </w:r>
      <w:r w:rsidR="00E463BA">
        <w:t xml:space="preserve"> </w:t>
      </w:r>
    </w:p>
    <w:p w:rsidR="0030296C" w:rsidRDefault="00E463BA" w:rsidP="0030296C">
      <w:r>
        <w:t xml:space="preserve">Over and over again, taking great care of our cultural treasures has also meant keeping out of the hands of the interested public.  The sequestration of our cultural riches gave rise to the need for commentary.  The rare few who glimpsed such volumes were duty-bound to report what they saw in painstaking detail.  </w:t>
      </w:r>
      <w:r w:rsidR="00B1329C">
        <w:t xml:space="preserve">The idea inheres in traditional humanities scholarship that our knowledge base consists of a core set of data </w:t>
      </w:r>
      <w:r w:rsidR="00265BCA">
        <w:t xml:space="preserve">which grows broader and deeper with each generation.  </w:t>
      </w:r>
      <w:r w:rsidR="00B1329C">
        <w:t xml:space="preserve">Direct access to original sources </w:t>
      </w:r>
      <w:r w:rsidR="00265BCA">
        <w:t xml:space="preserve">may be thought to </w:t>
      </w:r>
      <w:r w:rsidR="00B1329C">
        <w:t>reduce the need for commentary</w:t>
      </w:r>
      <w:r w:rsidR="00265BCA">
        <w:t xml:space="preserve">, although (to </w:t>
      </w:r>
      <w:r w:rsidR="0030296C">
        <w:lastRenderedPageBreak/>
        <w:t xml:space="preserve">continue </w:t>
      </w:r>
      <w:r w:rsidR="00265BCA">
        <w:t xml:space="preserve">with the </w:t>
      </w:r>
      <w:proofErr w:type="spellStart"/>
      <w:r w:rsidR="00265BCA">
        <w:t>Machaut</w:t>
      </w:r>
      <w:proofErr w:type="spellEnd"/>
      <w:r w:rsidR="00265BCA">
        <w:t xml:space="preserve"> example) </w:t>
      </w:r>
      <w:r w:rsidR="0030296C">
        <w:t xml:space="preserve">some of the French spellings, the detail of the illuminations, and the </w:t>
      </w:r>
      <w:r w:rsidR="00265BCA">
        <w:t xml:space="preserve">presentation of the music that differs from modern practice </w:t>
      </w:r>
      <w:r w:rsidR="0030296C">
        <w:t xml:space="preserve">students will remain as dependent on foundational training as in the past. </w:t>
      </w:r>
    </w:p>
    <w:p w:rsidR="001A2420" w:rsidRDefault="0030296C" w:rsidP="004F4C18">
      <w:r>
        <w:t xml:space="preserve">Will access to ever increasing amount of material </w:t>
      </w:r>
      <w:r w:rsidR="00B1329C">
        <w:t xml:space="preserve">change the dynamics of </w:t>
      </w:r>
      <w:r>
        <w:t xml:space="preserve">our </w:t>
      </w:r>
      <w:r w:rsidR="00B1329C">
        <w:t>disciplines</w:t>
      </w:r>
      <w:r>
        <w:t xml:space="preserve">?  It may, but not necessarily for the worse.  Increased access may </w:t>
      </w:r>
      <w:r w:rsidR="00B1329C">
        <w:t xml:space="preserve">stimulate our insights at a much more rapid pace than in the past.  </w:t>
      </w:r>
      <w:r>
        <w:t xml:space="preserve">Comparative studies may become more viable, though critical reports on manuscript sources may become less necessary.  </w:t>
      </w:r>
      <w:r w:rsidR="00DA242A">
        <w:t xml:space="preserve">Touching the past </w:t>
      </w:r>
      <w:r w:rsidR="001866A8">
        <w:t xml:space="preserve">in the </w:t>
      </w:r>
      <w:r w:rsidR="00DA242A">
        <w:t xml:space="preserve">evolving digital </w:t>
      </w:r>
      <w:r w:rsidR="001866A8">
        <w:t xml:space="preserve">present </w:t>
      </w:r>
      <w:r w:rsidR="00DA242A">
        <w:t xml:space="preserve">is an opportunity </w:t>
      </w:r>
      <w:r w:rsidR="006E47DA">
        <w:t>we</w:t>
      </w:r>
      <w:r w:rsidR="001A2420">
        <w:t xml:space="preserve"> </w:t>
      </w:r>
      <w:r>
        <w:t xml:space="preserve">can </w:t>
      </w:r>
      <w:r w:rsidR="001A2420">
        <w:t>cherish with an affection that few books could elicit</w:t>
      </w:r>
      <w:r w:rsidR="006E47DA">
        <w:t xml:space="preserve">.  </w:t>
      </w:r>
    </w:p>
    <w:p w:rsidR="00A26683" w:rsidRDefault="00A26683" w:rsidP="00A26683">
      <w:pPr>
        <w:pStyle w:val="Heading3"/>
        <w:numPr>
          <w:ilvl w:val="0"/>
          <w:numId w:val="5"/>
        </w:numPr>
      </w:pPr>
      <w:r>
        <w:t>Enabling performers’ access to original sources</w:t>
      </w:r>
    </w:p>
    <w:p w:rsidR="00A26683" w:rsidRDefault="00A26683" w:rsidP="00A26683">
      <w:r>
        <w:t xml:space="preserve">While </w:t>
      </w:r>
      <w:r w:rsidR="0079567B">
        <w:t>the availability of facsimile editions has</w:t>
      </w:r>
      <w:r>
        <w:t xml:space="preserve"> made visual knowledge of sources available to those with acces</w:t>
      </w:r>
      <w:r w:rsidR="0079567B">
        <w:t>s to specialized libraries, many</w:t>
      </w:r>
      <w:r>
        <w:t xml:space="preserve"> performers lack either access to such resources or sufficient time to </w:t>
      </w:r>
      <w:r w:rsidR="0079567B">
        <w:t>transcribe them into scores</w:t>
      </w:r>
      <w:r>
        <w:t xml:space="preserve">. </w:t>
      </w:r>
      <w:r w:rsidR="0079567B">
        <w:t xml:space="preserve"> A strong benefit of online facsimiles is that details can be expanded to show nuances of the original notation.  Via the </w:t>
      </w:r>
      <w:proofErr w:type="spellStart"/>
      <w:r w:rsidR="0073159B">
        <w:t>Zoomify</w:t>
      </w:r>
      <w:proofErr w:type="spellEnd"/>
      <w:r w:rsidR="0073159B">
        <w:t xml:space="preserve"> interface to the </w:t>
      </w:r>
      <w:r w:rsidR="002F7A15">
        <w:t>DFG</w:t>
      </w:r>
      <w:r w:rsidR="002F7A15">
        <w:rPr>
          <w:rStyle w:val="FootnoteReference"/>
        </w:rPr>
        <w:footnoteReference w:id="1"/>
      </w:r>
      <w:r w:rsidR="002F7A15">
        <w:t xml:space="preserve"> Viewer</w:t>
      </w:r>
      <w:r w:rsidR="0079567B">
        <w:t xml:space="preserve">, </w:t>
      </w:r>
      <w:r w:rsidR="0073159B">
        <w:t xml:space="preserve">the </w:t>
      </w:r>
      <w:proofErr w:type="gramStart"/>
      <w:r w:rsidR="0073159B">
        <w:t xml:space="preserve">scans of Bach autographs at </w:t>
      </w:r>
      <w:r w:rsidR="0079567B" w:rsidRPr="00856383">
        <w:t>Bach Digital</w:t>
      </w:r>
      <w:r w:rsidR="0079567B">
        <w:t xml:space="preserve"> offers</w:t>
      </w:r>
      <w:proofErr w:type="gramEnd"/>
      <w:r w:rsidR="0079567B">
        <w:t xml:space="preserve"> a particularly handsome entrée</w:t>
      </w:r>
      <w:r w:rsidR="0073159B">
        <w:t>.</w:t>
      </w:r>
      <w:r w:rsidR="002F7A15">
        <w:rPr>
          <w:rStyle w:val="FootnoteReference"/>
        </w:rPr>
        <w:footnoteReference w:id="2"/>
      </w:r>
      <w:r w:rsidR="0079567B">
        <w:t xml:space="preserve">  A cellist </w:t>
      </w:r>
      <w:r w:rsidR="002F7A15">
        <w:t>collea</w:t>
      </w:r>
      <w:r w:rsidR="0079567B">
        <w:t>g</w:t>
      </w:r>
      <w:r w:rsidR="002F7A15">
        <w:t>u</w:t>
      </w:r>
      <w:r w:rsidR="0079567B">
        <w:t>e</w:t>
      </w:r>
      <w:r w:rsidR="00856383">
        <w:rPr>
          <w:rStyle w:val="FootnoteReference"/>
        </w:rPr>
        <w:footnoteReference w:id="3"/>
      </w:r>
      <w:r w:rsidR="0079567B">
        <w:t xml:space="preserve"> was quite amazed to see Bach’s multiple stops in an unaccompanied suite </w:t>
      </w:r>
      <w:r w:rsidR="00561A98">
        <w:t xml:space="preserve">(cf. </w:t>
      </w:r>
      <w:hyperlink r:id="rId9" w:history="1">
        <w:r w:rsidR="00856383" w:rsidRPr="00AD6F9B">
          <w:rPr>
            <w:rStyle w:val="Hyperlink"/>
            <w:rFonts w:ascii="Verdana" w:hAnsi="Verdana"/>
            <w:sz w:val="17"/>
            <w:szCs w:val="17"/>
            <w:shd w:val="clear" w:color="auto" w:fill="DDDBFF"/>
          </w:rPr>
          <w:t>D-B [Deutsche Staatsbibliothek Berlin] Mus. ms. Bach P 269</w:t>
        </w:r>
      </w:hyperlink>
      <w:r w:rsidR="00561A98">
        <w:t xml:space="preserve">, BWV 1007-1012, at </w:t>
      </w:r>
      <w:hyperlink r:id="rId10" w:history="1">
        <w:r w:rsidR="00561A98" w:rsidRPr="00AD6F9B">
          <w:rPr>
            <w:rStyle w:val="Hyperlink"/>
          </w:rPr>
          <w:t>http://www.bach-digital.de</w:t>
        </w:r>
      </w:hyperlink>
      <w:r w:rsidR="00561A98">
        <w:t xml:space="preserve">) </w:t>
      </w:r>
      <w:r w:rsidR="002F7A15">
        <w:t>as they came from the composer’s hand, though at a size easily scalable to be seen across the room</w:t>
      </w:r>
      <w:r w:rsidR="0079567B">
        <w:t xml:space="preserve">. </w:t>
      </w:r>
      <w:r w:rsidR="00856383">
        <w:t xml:space="preserve"> </w:t>
      </w:r>
      <w:r w:rsidR="0079567B">
        <w:t xml:space="preserve">Those confronted with the subtleties of performance possibilities seems to find this new way of seeing music to open up whole new vistas.  Our emerging modern world thrusts us into the midst of whatever period of music history we seek to understand.   </w:t>
      </w:r>
    </w:p>
    <w:p w:rsidR="00894507" w:rsidRDefault="00894507" w:rsidP="00894507">
      <w:pPr>
        <w:pStyle w:val="Heading2"/>
        <w:numPr>
          <w:ilvl w:val="0"/>
          <w:numId w:val="1"/>
        </w:numPr>
      </w:pPr>
      <w:r>
        <w:t>Digital recovery, enhancement, and systematic control</w:t>
      </w:r>
    </w:p>
    <w:p w:rsidR="00D61F02" w:rsidRPr="00D61F02" w:rsidRDefault="00D61F02" w:rsidP="00D61F02">
      <w:r>
        <w:t xml:space="preserve">A systematic examination of the many values of virtual access to original sources would need to focus on more difficult undertaking that involve the manipulation of digital images in order to recapture </w:t>
      </w:r>
      <w:r w:rsidR="00C32DDF">
        <w:t xml:space="preserve">content that has faded from the page, to enhance it, to facilitate comparison between two prints for “the same” work, to identify copyists, and to retrieve watermark information.  Projects have been started in all of these areas.  Several have faltered along the way, mainly for lack of continuing funding.  The low-hanging fruit of straightforward reproduction has delivered such a bountiful harvest that it seems ill-willed to suggest more intricate processes.  The second-level tiers of research considered below all require substantially more funding than simple scanning because the scanning is still necessary, but it only brings the project to the threshold of refining new  technologies (mainly associated with graphical analysis, which until </w:t>
      </w:r>
      <w:r w:rsidR="00C32DDF" w:rsidRPr="00C32DDF">
        <w:rPr>
          <w:i/>
        </w:rPr>
        <w:t>c</w:t>
      </w:r>
      <w:r w:rsidR="00C32DDF">
        <w:t xml:space="preserve">. 1990 was largely the province of intelligence networks).   Since musicology attracts little support from industry, the adaptation of these technologies is, and is likely to remain, dependent on academic research enterprises. </w:t>
      </w:r>
      <w:r w:rsidR="00A867CE">
        <w:t xml:space="preserve"> </w:t>
      </w:r>
    </w:p>
    <w:p w:rsidR="00894507" w:rsidRPr="00800009" w:rsidRDefault="00894507" w:rsidP="00800009">
      <w:pPr>
        <w:pStyle w:val="Heading3"/>
      </w:pPr>
      <w:r w:rsidRPr="00800009">
        <w:rPr>
          <w:rStyle w:val="Heading3Char"/>
          <w:i/>
          <w:iCs/>
          <w:smallCaps/>
        </w:rPr>
        <w:lastRenderedPageBreak/>
        <w:t>Recovery:</w:t>
      </w:r>
      <w:r w:rsidRPr="00800009">
        <w:t xml:space="preserve"> DIAMM</w:t>
      </w:r>
    </w:p>
    <w:p w:rsidR="006E79A1" w:rsidRDefault="00117E15" w:rsidP="00894507">
      <w:r>
        <w:t xml:space="preserve">Digital recovery involves retrieving from </w:t>
      </w:r>
      <w:proofErr w:type="gramStart"/>
      <w:r>
        <w:t>a physically</w:t>
      </w:r>
      <w:proofErr w:type="gramEnd"/>
      <w:r>
        <w:t xml:space="preserve"> corrupted artifact visual information that is no longer apparent to the naked eye.  A most ambitious project, the </w:t>
      </w:r>
      <w:proofErr w:type="spellStart"/>
      <w:r>
        <w:t>Digitial</w:t>
      </w:r>
      <w:proofErr w:type="spellEnd"/>
      <w:r>
        <w:t xml:space="preserve"> Internet Archive of Medieval Music (</w:t>
      </w:r>
      <w:hyperlink r:id="rId11" w:history="1">
        <w:r w:rsidRPr="006E79A1">
          <w:rPr>
            <w:rStyle w:val="Hyperlink"/>
          </w:rPr>
          <w:t>DIAMM</w:t>
        </w:r>
      </w:hyperlink>
      <w:r>
        <w:t>), was undertaken in England in the late Nineties.</w:t>
      </w:r>
      <w:r>
        <w:rPr>
          <w:rStyle w:val="FootnoteReference"/>
        </w:rPr>
        <w:footnoteReference w:id="4"/>
      </w:r>
      <w:r>
        <w:t xml:space="preserve">  </w:t>
      </w:r>
      <w:r w:rsidR="00DF6821">
        <w:t xml:space="preserve">Among the original aims of DIAMM were (a) the scanning all extant manuscripts in Europe at three resolutions [low for thumbnails and indexing, medium for scholarly consultation, and high for the those questions that require a “very close look” at details; (b) the indexing collections and the titles within them, and (c) the facilitation of user input.  </w:t>
      </w:r>
      <w:r w:rsidR="006E79A1">
        <w:t xml:space="preserve">The archive has evolved over time and now includes (for works that have been scanned) musical incipits, full transcriptions of texts within the musical source, and single-folio images with thumbnail views.  </w:t>
      </w:r>
    </w:p>
    <w:p w:rsidR="006E79A1" w:rsidRDefault="005E4EB3" w:rsidP="00894507">
      <w:r>
        <w:t xml:space="preserve">A recent search for music by Johannes </w:t>
      </w:r>
      <w:proofErr w:type="spellStart"/>
      <w:r>
        <w:t>Ciconia</w:t>
      </w:r>
      <w:proofErr w:type="spellEnd"/>
      <w:r>
        <w:t xml:space="preserve"> (</w:t>
      </w:r>
      <w:r w:rsidR="00800009" w:rsidRPr="00800009">
        <w:rPr>
          <w:i/>
        </w:rPr>
        <w:t>c</w:t>
      </w:r>
      <w:r w:rsidR="00800009">
        <w:t xml:space="preserve">. 1370-1412) </w:t>
      </w:r>
      <w:r>
        <w:t xml:space="preserve">retrieved 58 items.  </w:t>
      </w:r>
      <w:r w:rsidR="00306B6C">
        <w:t xml:space="preserve">The bulk of citations with images </w:t>
      </w:r>
      <w:r>
        <w:t xml:space="preserve">come from a number of much-discussed sources including Oxford Bodleian Ms. </w:t>
      </w:r>
      <w:proofErr w:type="spellStart"/>
      <w:r>
        <w:t>Canonici</w:t>
      </w:r>
      <w:proofErr w:type="spellEnd"/>
      <w:r>
        <w:t xml:space="preserve"> 213 and Bologna Conservatory MS. Q. 15.  </w:t>
      </w:r>
      <w:r w:rsidR="00DB662A">
        <w:t xml:space="preserve">For each source metadata indicates the genre, number of voices, concordances, and ordinal position within the source.  </w:t>
      </w:r>
      <w:r w:rsidR="004F72DB">
        <w:t xml:space="preserve">Clefs and mensuration signs are mentioned in the “text” section. </w:t>
      </w:r>
      <w:r w:rsidR="00306B6C">
        <w:t xml:space="preserve"> Other relevant metadata is linked to other parts of the site.  </w:t>
      </w:r>
      <w:r w:rsidR="004F72DB">
        <w:t xml:space="preserve"> </w:t>
      </w:r>
      <w:r w:rsidR="00F24E8E">
        <w:t xml:space="preserve">Searches can be filtered for the presence or absence of images.  </w:t>
      </w:r>
      <w:r w:rsidR="00306B6C">
        <w:t xml:space="preserve">An experimental browser facilitates search by location.  </w:t>
      </w:r>
    </w:p>
    <w:p w:rsidR="00306B6C" w:rsidRDefault="00306B6C" w:rsidP="00894507">
      <w:r>
        <w:t xml:space="preserve">While none of these capabilities is unavailable in other projects, two aspects of DIAMM make it particularly special: the many points of access represent a near-optimum organization of linked textual and musical (mainly graphical) information and in selected cases the high-resolution imaging restores to a useable (virtual) state manuscripts that appeared in printed catalogues as lost, irretrievable, or damaged beyond repair.  </w:t>
      </w:r>
      <w:r w:rsidR="007522CD">
        <w:t xml:space="preserve">We featured </w:t>
      </w:r>
      <w:r w:rsidR="005A6869">
        <w:t xml:space="preserve">several </w:t>
      </w:r>
      <w:r w:rsidR="007522CD">
        <w:t>such example</w:t>
      </w:r>
      <w:r w:rsidR="005A6869">
        <w:t>s</w:t>
      </w:r>
      <w:r w:rsidR="007522CD">
        <w:t xml:space="preserve"> in a</w:t>
      </w:r>
      <w:r w:rsidR="005A6869">
        <w:t xml:space="preserve"> 2001 publication.</w:t>
      </w:r>
      <w:r w:rsidR="005A6869">
        <w:rPr>
          <w:rStyle w:val="FootnoteReference"/>
        </w:rPr>
        <w:footnoteReference w:id="5"/>
      </w:r>
      <w:r w:rsidR="005A6869">
        <w:t xml:space="preserve">  </w:t>
      </w:r>
      <w:r w:rsidR="007522CD">
        <w:t xml:space="preserve">  </w:t>
      </w:r>
    </w:p>
    <w:p w:rsidR="00894507" w:rsidRDefault="005A6869" w:rsidP="00894507">
      <w:r>
        <w:t xml:space="preserve"> </w:t>
      </w:r>
      <w:r w:rsidR="00894507" w:rsidRPr="006F4112">
        <w:rPr>
          <w:noProof/>
        </w:rPr>
        <w:drawing>
          <wp:inline distT="0" distB="0" distL="0" distR="0" wp14:anchorId="5BAD270D" wp14:editId="1CC00CD8">
            <wp:extent cx="2663687" cy="2669969"/>
            <wp:effectExtent l="0" t="0" r="3810" b="0"/>
            <wp:docPr id="29702" name="Picture 2" descr="C:\Users\Eleanor.CCARH-ADM-2\Documents\CM-Archive2012\CM-Archive_05-15\cm12_2000\#16wathy\raw\graphics\ADD4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Picture 2" descr="C:\Users\Eleanor.CCARH-ADM-2\Documents\CM-Archive2012\CM-Archive_05-15\cm12_2000\#16wathy\raw\graphics\ADD4134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4287" cy="2670570"/>
                    </a:xfrm>
                    <a:prstGeom prst="rect">
                      <a:avLst/>
                    </a:prstGeom>
                    <a:noFill/>
                    <a:ln>
                      <a:noFill/>
                    </a:ln>
                    <a:extLst/>
                  </pic:spPr>
                </pic:pic>
              </a:graphicData>
            </a:graphic>
          </wp:inline>
        </w:drawing>
      </w:r>
    </w:p>
    <w:p w:rsidR="00894507" w:rsidRPr="00800009" w:rsidRDefault="00894507" w:rsidP="00894507">
      <w:pPr>
        <w:rPr>
          <w:i/>
        </w:rPr>
      </w:pPr>
      <w:proofErr w:type="gramStart"/>
      <w:r w:rsidRPr="00800009">
        <w:rPr>
          <w:i/>
        </w:rPr>
        <w:lastRenderedPageBreak/>
        <w:t>Figure 2 (DIAMM).</w:t>
      </w:r>
      <w:proofErr w:type="gramEnd"/>
      <w:r w:rsidRPr="00800009">
        <w:rPr>
          <w:i/>
        </w:rPr>
        <w:t xml:space="preserve">  </w:t>
      </w:r>
      <w:r w:rsidR="005A6869" w:rsidRPr="00800009">
        <w:rPr>
          <w:i/>
        </w:rPr>
        <w:t xml:space="preserve">London, British Library, Add. </w:t>
      </w:r>
      <w:proofErr w:type="gramStart"/>
      <w:r w:rsidR="005A6869" w:rsidRPr="00800009">
        <w:rPr>
          <w:i/>
        </w:rPr>
        <w:t>41340, before and after digital restoration</w:t>
      </w:r>
      <w:r w:rsidR="0067393C" w:rsidRPr="00800009">
        <w:rPr>
          <w:i/>
        </w:rPr>
        <w:t xml:space="preserve"> by DIAMM</w:t>
      </w:r>
      <w:r w:rsidR="005A6869" w:rsidRPr="00800009">
        <w:rPr>
          <w:i/>
        </w:rPr>
        <w:t>.</w:t>
      </w:r>
      <w:proofErr w:type="gramEnd"/>
      <w:r w:rsidR="005A6869" w:rsidRPr="00800009">
        <w:rPr>
          <w:i/>
        </w:rPr>
        <w:t xml:space="preserve"> </w:t>
      </w:r>
      <w:r w:rsidR="0067393C" w:rsidRPr="00800009">
        <w:rPr>
          <w:i/>
        </w:rPr>
        <w:t xml:space="preserve"> Photographs </w:t>
      </w:r>
      <w:r w:rsidR="005A6869" w:rsidRPr="00800009">
        <w:rPr>
          <w:i/>
        </w:rPr>
        <w:t>©</w:t>
      </w:r>
      <w:r w:rsidR="0067393C" w:rsidRPr="00800009">
        <w:rPr>
          <w:i/>
        </w:rPr>
        <w:t xml:space="preserve">2000 by </w:t>
      </w:r>
      <w:proofErr w:type="gramStart"/>
      <w:r w:rsidR="0067393C" w:rsidRPr="00800009">
        <w:rPr>
          <w:i/>
        </w:rPr>
        <w:t>The</w:t>
      </w:r>
      <w:proofErr w:type="gramEnd"/>
      <w:r w:rsidR="005A6869" w:rsidRPr="00800009">
        <w:rPr>
          <w:i/>
        </w:rPr>
        <w:t xml:space="preserve"> British Library.  </w:t>
      </w:r>
      <w:proofErr w:type="gramStart"/>
      <w:r w:rsidR="005A6869" w:rsidRPr="00800009">
        <w:rPr>
          <w:i/>
        </w:rPr>
        <w:t>Permission pending.</w:t>
      </w:r>
      <w:proofErr w:type="gramEnd"/>
      <w:r w:rsidR="005A6869" w:rsidRPr="00800009">
        <w:rPr>
          <w:i/>
        </w:rPr>
        <w:t xml:space="preserve"> </w:t>
      </w:r>
    </w:p>
    <w:p w:rsidR="00894507" w:rsidRDefault="00396EA1" w:rsidP="00894507">
      <w:r>
        <w:t>Among the most exciting digital restoration projects have been those in which images of “lost” music are retrieved from underneath non-musical material.  A case in point (again from DIAMM) occurs in the palimpsest Oxford, Corpus Christi MS 144.  We see the first and last images (Stages A and D only) of the transit from non-musical “original” to covered music.</w:t>
      </w:r>
    </w:p>
    <w:tbl>
      <w:tblPr>
        <w:tblStyle w:val="TableGrid"/>
        <w:tblW w:w="0" w:type="auto"/>
        <w:tblLook w:val="04A0" w:firstRow="1" w:lastRow="0" w:firstColumn="1" w:lastColumn="0" w:noHBand="0" w:noVBand="1"/>
      </w:tblPr>
      <w:tblGrid>
        <w:gridCol w:w="4782"/>
        <w:gridCol w:w="4794"/>
      </w:tblGrid>
      <w:tr w:rsidR="004E7635" w:rsidTr="004E7635">
        <w:tc>
          <w:tcPr>
            <w:tcW w:w="4788" w:type="dxa"/>
          </w:tcPr>
          <w:p w:rsidR="004E7635" w:rsidRDefault="004E7635" w:rsidP="00894507">
            <w:r>
              <w:rPr>
                <w:noProof/>
              </w:rPr>
              <w:drawing>
                <wp:inline distT="0" distB="0" distL="0" distR="0" wp14:anchorId="0EB97C42" wp14:editId="7CE0B5E2">
                  <wp:extent cx="3063748" cy="4977517"/>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r144StageA.PNG"/>
                          <pic:cNvPicPr/>
                        </pic:nvPicPr>
                        <pic:blipFill>
                          <a:blip r:embed="rId13">
                            <a:extLst>
                              <a:ext uri="{28A0092B-C50C-407E-A947-70E740481C1C}">
                                <a14:useLocalDpi xmlns:a14="http://schemas.microsoft.com/office/drawing/2010/main" val="0"/>
                              </a:ext>
                            </a:extLst>
                          </a:blip>
                          <a:stretch>
                            <a:fillRect/>
                          </a:stretch>
                        </pic:blipFill>
                        <pic:spPr>
                          <a:xfrm>
                            <a:off x="0" y="0"/>
                            <a:ext cx="3063257" cy="4976720"/>
                          </a:xfrm>
                          <a:prstGeom prst="rect">
                            <a:avLst/>
                          </a:prstGeom>
                        </pic:spPr>
                      </pic:pic>
                    </a:graphicData>
                  </a:graphic>
                </wp:inline>
              </w:drawing>
            </w:r>
          </w:p>
        </w:tc>
        <w:tc>
          <w:tcPr>
            <w:tcW w:w="4788" w:type="dxa"/>
          </w:tcPr>
          <w:p w:rsidR="004E7635" w:rsidRDefault="004E7635" w:rsidP="00894507">
            <w:r>
              <w:rPr>
                <w:noProof/>
              </w:rPr>
              <w:drawing>
                <wp:inline distT="0" distB="0" distL="0" distR="0" wp14:anchorId="53AE8AFF" wp14:editId="6A17480E">
                  <wp:extent cx="3075421" cy="4937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r144_StageD.PNG"/>
                          <pic:cNvPicPr/>
                        </pic:nvPicPr>
                        <pic:blipFill>
                          <a:blip r:embed="rId14">
                            <a:extLst>
                              <a:ext uri="{28A0092B-C50C-407E-A947-70E740481C1C}">
                                <a14:useLocalDpi xmlns:a14="http://schemas.microsoft.com/office/drawing/2010/main" val="0"/>
                              </a:ext>
                            </a:extLst>
                          </a:blip>
                          <a:stretch>
                            <a:fillRect/>
                          </a:stretch>
                        </pic:blipFill>
                        <pic:spPr>
                          <a:xfrm>
                            <a:off x="0" y="0"/>
                            <a:ext cx="3080837" cy="4946456"/>
                          </a:xfrm>
                          <a:prstGeom prst="rect">
                            <a:avLst/>
                          </a:prstGeom>
                        </pic:spPr>
                      </pic:pic>
                    </a:graphicData>
                  </a:graphic>
                </wp:inline>
              </w:drawing>
            </w:r>
          </w:p>
        </w:tc>
      </w:tr>
    </w:tbl>
    <w:p w:rsidR="00396EA1" w:rsidRPr="00800009" w:rsidRDefault="00396EA1" w:rsidP="00894507">
      <w:pPr>
        <w:rPr>
          <w:i/>
        </w:rPr>
      </w:pPr>
      <w:proofErr w:type="gramStart"/>
      <w:r w:rsidRPr="00800009">
        <w:rPr>
          <w:i/>
        </w:rPr>
        <w:t>Figure 3.</w:t>
      </w:r>
      <w:proofErr w:type="gramEnd"/>
      <w:r w:rsidRPr="00800009">
        <w:rPr>
          <w:i/>
        </w:rPr>
        <w:t xml:space="preserve">  </w:t>
      </w:r>
      <w:proofErr w:type="gramStart"/>
      <w:r w:rsidRPr="00800009">
        <w:rPr>
          <w:i/>
        </w:rPr>
        <w:t>Oxford, Corpus Christi College, MS 144.</w:t>
      </w:r>
      <w:proofErr w:type="gramEnd"/>
      <w:r w:rsidRPr="00800009">
        <w:rPr>
          <w:i/>
        </w:rPr>
        <w:t xml:space="preserve">  </w:t>
      </w:r>
      <w:proofErr w:type="gramStart"/>
      <w:r w:rsidRPr="00800009">
        <w:rPr>
          <w:i/>
        </w:rPr>
        <w:t>Reproduced by the kind permission of the President and Fellows.</w:t>
      </w:r>
      <w:proofErr w:type="gramEnd"/>
      <w:r w:rsidRPr="00800009">
        <w:rPr>
          <w:i/>
        </w:rPr>
        <w:t xml:space="preserve">  </w:t>
      </w:r>
    </w:p>
    <w:p w:rsidR="00180110" w:rsidRPr="00800009" w:rsidRDefault="00180110" w:rsidP="00800009">
      <w:pPr>
        <w:pStyle w:val="Heading3"/>
        <w:rPr>
          <w:rStyle w:val="Heading3Char"/>
          <w:i/>
          <w:iCs/>
          <w:smallCaps/>
        </w:rPr>
      </w:pPr>
      <w:r w:rsidRPr="00800009">
        <w:rPr>
          <w:rStyle w:val="Heading3Char"/>
          <w:i/>
          <w:iCs/>
          <w:smallCaps/>
        </w:rPr>
        <w:t>Print c</w:t>
      </w:r>
      <w:r w:rsidR="00894507" w:rsidRPr="00800009">
        <w:rPr>
          <w:rStyle w:val="Heading3Char"/>
          <w:i/>
          <w:iCs/>
          <w:smallCaps/>
        </w:rPr>
        <w:t>omparison</w:t>
      </w:r>
      <w:r w:rsidRPr="00800009">
        <w:rPr>
          <w:rStyle w:val="Heading3Char"/>
          <w:i/>
          <w:iCs/>
          <w:smallCaps/>
        </w:rPr>
        <w:t>s</w:t>
      </w:r>
    </w:p>
    <w:p w:rsidR="00180110" w:rsidRDefault="00180110" w:rsidP="00180110">
      <w:r>
        <w:t xml:space="preserve">A half-millennium of bibliographical cataloguing and collation have persuaded us that if two copies of what is ostensibly the same print bear the same date, contain the same number of pages, appear in the same font(s), and correspond in every obvious manner, they must be two instances of the same printing.  Through some extensive sleuthing with a </w:t>
      </w:r>
      <w:proofErr w:type="spellStart"/>
      <w:r>
        <w:t>Hinman</w:t>
      </w:r>
      <w:proofErr w:type="spellEnd"/>
      <w:r>
        <w:t xml:space="preserve"> Collator and various digital tools, Philip Brett and Jeremy Smith determined that when images of single pages from such instances are </w:t>
      </w:r>
      <w:r>
        <w:lastRenderedPageBreak/>
        <w:t>laid on top of one another, they do not in all cases coincide.  The object of their study was the printed music (in particular the</w:t>
      </w:r>
      <w:r w:rsidRPr="00180110">
        <w:rPr>
          <w:i/>
        </w:rPr>
        <w:t xml:space="preserve"> </w:t>
      </w:r>
      <w:proofErr w:type="spellStart"/>
      <w:r w:rsidRPr="00180110">
        <w:rPr>
          <w:i/>
        </w:rPr>
        <w:t>Psaumes</w:t>
      </w:r>
      <w:proofErr w:type="spellEnd"/>
      <w:r>
        <w:t xml:space="preserve">) of William Byrd.  Byrd appears to have had a change of heart about mensuration signs after a failed publication with Thomas </w:t>
      </w:r>
      <w:proofErr w:type="spellStart"/>
      <w:r>
        <w:t>Tallis</w:t>
      </w:r>
      <w:proofErr w:type="spellEnd"/>
      <w:r>
        <w:t>.</w:t>
      </w:r>
      <w:r>
        <w:rPr>
          <w:rStyle w:val="FootnoteReference"/>
        </w:rPr>
        <w:footnoteReference w:id="6"/>
      </w:r>
      <w:r w:rsidR="009628FA">
        <w:t xml:space="preserve">    In Fig. 4 we see overlays </w:t>
      </w:r>
      <w:proofErr w:type="gramStart"/>
      <w:r w:rsidR="009628FA">
        <w:t>of  “</w:t>
      </w:r>
      <w:proofErr w:type="gramEnd"/>
      <w:r w:rsidR="009628FA">
        <w:t>the same” page, demonstrating that some hand modifications were made.</w:t>
      </w:r>
    </w:p>
    <w:p w:rsidR="009628FA" w:rsidRDefault="009628FA" w:rsidP="00180110">
      <w:r w:rsidRPr="009628FA">
        <w:rPr>
          <w:noProof/>
        </w:rPr>
        <w:drawing>
          <wp:inline distT="0" distB="0" distL="0" distR="0" wp14:anchorId="732B1E94" wp14:editId="5840FE9D">
            <wp:extent cx="4532243" cy="2549386"/>
            <wp:effectExtent l="0" t="0" r="1905" b="3810"/>
            <wp:docPr id="8"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31614" cy="2549032"/>
                    </a:xfrm>
                    <a:prstGeom prst="rect">
                      <a:avLst/>
                    </a:prstGeom>
                  </pic:spPr>
                </pic:pic>
              </a:graphicData>
            </a:graphic>
          </wp:inline>
        </w:drawing>
      </w:r>
    </w:p>
    <w:p w:rsidR="009628FA" w:rsidRPr="00180110" w:rsidRDefault="009628FA" w:rsidP="00180110">
      <w:proofErr w:type="gramStart"/>
      <w:r>
        <w:t>Fig. 4.</w:t>
      </w:r>
      <w:proofErr w:type="gramEnd"/>
      <w:r>
        <w:t xml:space="preserve">  Overlays from two copies of the same </w:t>
      </w:r>
      <w:proofErr w:type="spellStart"/>
      <w:r>
        <w:t>partbook</w:t>
      </w:r>
      <w:proofErr w:type="spellEnd"/>
      <w:r>
        <w:t xml:space="preserve"> for William Byrd’s “My Soule </w:t>
      </w:r>
      <w:proofErr w:type="spellStart"/>
      <w:r>
        <w:t>opprest</w:t>
      </w:r>
      <w:proofErr w:type="spellEnd"/>
      <w:r>
        <w:t xml:space="preserve"> with care and </w:t>
      </w:r>
      <w:proofErr w:type="spellStart"/>
      <w:r>
        <w:t>griefe</w:t>
      </w:r>
      <w:proofErr w:type="spellEnd"/>
      <w:r>
        <w:t xml:space="preserve">” [Psalm 119] from his </w:t>
      </w:r>
      <w:r w:rsidRPr="009628FA">
        <w:rPr>
          <w:highlight w:val="yellow"/>
        </w:rPr>
        <w:t>[first?]</w:t>
      </w:r>
      <w:r>
        <w:t xml:space="preserve"> book of </w:t>
      </w:r>
      <w:proofErr w:type="spellStart"/>
      <w:r w:rsidRPr="009628FA">
        <w:rPr>
          <w:i/>
        </w:rPr>
        <w:t>Psaumes</w:t>
      </w:r>
      <w:proofErr w:type="spellEnd"/>
      <w:r w:rsidRPr="009628FA">
        <w:rPr>
          <w:i/>
        </w:rPr>
        <w:t xml:space="preserve"> </w:t>
      </w:r>
      <w:r>
        <w:t>(1567).</w:t>
      </w:r>
    </w:p>
    <w:p w:rsidR="00800009" w:rsidRDefault="00800009" w:rsidP="00800009">
      <w:pPr>
        <w:pStyle w:val="Heading3"/>
        <w:rPr>
          <w:rStyle w:val="Heading3Char"/>
          <w:i/>
          <w:iCs/>
          <w:smallCaps/>
        </w:rPr>
      </w:pPr>
      <w:r w:rsidRPr="00800009">
        <w:rPr>
          <w:rStyle w:val="Heading3Char"/>
          <w:i/>
          <w:iCs/>
          <w:smallCaps/>
        </w:rPr>
        <w:t>Scribal Analysis</w:t>
      </w:r>
    </w:p>
    <w:p w:rsidR="00800009" w:rsidRDefault="00800009" w:rsidP="00800009">
      <w:r>
        <w:t xml:space="preserve">Any number of handwriting-analysis projects have been initiated over the two decades since desktop scanners became available.  As in every other area of digital experimentation, no two projects ever have exactly the same goals.  Therefore they never have exactly the same approaches either.  While it is therefore impossible to compare them directly, the </w:t>
      </w:r>
      <w:proofErr w:type="spellStart"/>
      <w:r w:rsidRPr="00800009">
        <w:rPr>
          <w:i/>
        </w:rPr>
        <w:t>eNote</w:t>
      </w:r>
      <w:proofErr w:type="spellEnd"/>
      <w:r w:rsidRPr="00800009">
        <w:rPr>
          <w:i/>
        </w:rPr>
        <w:t xml:space="preserve"> History</w:t>
      </w:r>
      <w:r>
        <w:t xml:space="preserve"> project at Rostock University (c. 2004-2007) remains, despite its discontinuation, well worth our consideration.  The University Library has a well-studied collection on manuscripts from the early eighteenth century and adjacent decades.  Some of the copyists have been identified by careful documentary research.  The role of the digital project was the classified the hands within the collection and to seek a way to categorize the hands and examine the transmission processes pertinent to the collection.  </w:t>
      </w:r>
      <w:r w:rsidR="00AA47A2" w:rsidRPr="00AA47A2">
        <w:rPr>
          <w:highlight w:val="yellow"/>
        </w:rPr>
        <w:t>[Need credits here.]</w:t>
      </w:r>
    </w:p>
    <w:p w:rsidR="00D378AE" w:rsidRDefault="00D378AE" w:rsidP="00800009">
      <w:r w:rsidRPr="00D378AE">
        <w:rPr>
          <w:noProof/>
        </w:rPr>
        <w:lastRenderedPageBreak/>
        <w:drawing>
          <wp:inline distT="0" distB="0" distL="0" distR="0" wp14:anchorId="2CA6871C" wp14:editId="0B99FD9D">
            <wp:extent cx="4587903" cy="3039484"/>
            <wp:effectExtent l="0" t="0" r="3175" b="8890"/>
            <wp:docPr id="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89931" cy="3040828"/>
                    </a:xfrm>
                    <a:prstGeom prst="rect">
                      <a:avLst/>
                    </a:prstGeom>
                  </pic:spPr>
                </pic:pic>
              </a:graphicData>
            </a:graphic>
          </wp:inline>
        </w:drawing>
      </w:r>
    </w:p>
    <w:p w:rsidR="00D378AE" w:rsidRPr="00D378AE" w:rsidRDefault="00D378AE" w:rsidP="00800009">
      <w:pPr>
        <w:rPr>
          <w:i/>
        </w:rPr>
      </w:pPr>
      <w:proofErr w:type="gramStart"/>
      <w:r w:rsidRPr="00D378AE">
        <w:rPr>
          <w:i/>
        </w:rPr>
        <w:t xml:space="preserve">Fig. </w:t>
      </w:r>
      <w:r w:rsidR="00B20580">
        <w:rPr>
          <w:i/>
        </w:rPr>
        <w:t>5</w:t>
      </w:r>
      <w:r w:rsidRPr="00D378AE">
        <w:rPr>
          <w:i/>
        </w:rPr>
        <w:t>.</w:t>
      </w:r>
      <w:proofErr w:type="gramEnd"/>
      <w:r w:rsidRPr="00D378AE">
        <w:rPr>
          <w:i/>
        </w:rPr>
        <w:t xml:space="preserve">  </w:t>
      </w:r>
      <w:proofErr w:type="gramStart"/>
      <w:r w:rsidRPr="00D378AE">
        <w:rPr>
          <w:i/>
        </w:rPr>
        <w:t xml:space="preserve">User screen showing source, bounding box, detail of music features, and overlaid images of a short passage in the </w:t>
      </w:r>
      <w:proofErr w:type="spellStart"/>
      <w:r w:rsidRPr="00D378AE">
        <w:rPr>
          <w:i/>
        </w:rPr>
        <w:t>eNote</w:t>
      </w:r>
      <w:proofErr w:type="spellEnd"/>
      <w:r w:rsidRPr="00D378AE">
        <w:rPr>
          <w:i/>
        </w:rPr>
        <w:t xml:space="preserve"> History project at Rostock University.</w:t>
      </w:r>
      <w:proofErr w:type="gramEnd"/>
      <w:r w:rsidRPr="00D378AE">
        <w:rPr>
          <w:i/>
        </w:rPr>
        <w:t xml:space="preserve">  The music forms part of the eighteenth-century collection of the university library.  </w:t>
      </w:r>
    </w:p>
    <w:p w:rsidR="00800009" w:rsidRDefault="00800009" w:rsidP="00800009">
      <w:r>
        <w:t xml:space="preserve">The numerous steps in the process of graphical analysis shared with the Byrd project (and many others) the need to overlay one image with another.  The prospective user would see a collection of windows </w:t>
      </w:r>
      <w:r w:rsidR="00D378AE">
        <w:t xml:space="preserve">on the screen.  Methods were developed to isolate symbols, to place identified symbols in a lexicon, to construct a similarity index of these graphical types, and then to apply the results to a series of new facsimiles from the collection.  It was observed that clusters of scribes might share certain aspects of graphical style.  (G-clef </w:t>
      </w:r>
      <w:r w:rsidR="00AA47A2">
        <w:t xml:space="preserve">and F-clef signs offer </w:t>
      </w:r>
      <w:r w:rsidR="00D378AE">
        <w:t>prime example</w:t>
      </w:r>
      <w:r w:rsidR="00AA47A2">
        <w:t>s</w:t>
      </w:r>
      <w:r w:rsidR="00D378AE">
        <w:t xml:space="preserve">.)  </w:t>
      </w:r>
    </w:p>
    <w:p w:rsidR="00AA47A2" w:rsidRDefault="00AA47A2" w:rsidP="00800009">
      <w:r w:rsidRPr="00AA47A2">
        <w:rPr>
          <w:noProof/>
        </w:rPr>
        <w:drawing>
          <wp:inline distT="0" distB="0" distL="0" distR="0" wp14:anchorId="55AF4F55" wp14:editId="4183636B">
            <wp:extent cx="4405023" cy="3010938"/>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03799" cy="3010102"/>
                    </a:xfrm>
                    <a:prstGeom prst="rect">
                      <a:avLst/>
                    </a:prstGeom>
                  </pic:spPr>
                </pic:pic>
              </a:graphicData>
            </a:graphic>
          </wp:inline>
        </w:drawing>
      </w:r>
    </w:p>
    <w:p w:rsidR="00AA47A2" w:rsidRDefault="00AA47A2" w:rsidP="00800009">
      <w:pPr>
        <w:rPr>
          <w:i/>
        </w:rPr>
      </w:pPr>
      <w:proofErr w:type="gramStart"/>
      <w:r w:rsidRPr="00AC421D">
        <w:rPr>
          <w:i/>
        </w:rPr>
        <w:lastRenderedPageBreak/>
        <w:t xml:space="preserve">Fig. </w:t>
      </w:r>
      <w:r w:rsidR="00B20580">
        <w:rPr>
          <w:i/>
        </w:rPr>
        <w:t>6</w:t>
      </w:r>
      <w:r w:rsidRPr="00AC421D">
        <w:rPr>
          <w:i/>
        </w:rPr>
        <w:t>.</w:t>
      </w:r>
      <w:proofErr w:type="gramEnd"/>
      <w:r w:rsidRPr="00AC421D">
        <w:rPr>
          <w:i/>
        </w:rPr>
        <w:t xml:space="preserve">  G-clef candidates from the lexicon are compared to a specific clef sign</w:t>
      </w:r>
      <w:r w:rsidR="00AC421D" w:rsidRPr="00AC421D">
        <w:rPr>
          <w:i/>
        </w:rPr>
        <w:t>.   The best candidate can be inferred from the similarity matrix.  In due course, scribes are grouped into clusters based on similar traits of handwriting.</w:t>
      </w:r>
    </w:p>
    <w:p w:rsidR="00AC421D" w:rsidRDefault="00715673" w:rsidP="00715673">
      <w:pPr>
        <w:pStyle w:val="Heading3"/>
      </w:pPr>
      <w:r>
        <w:t>Watermark Analysis and Lexicon Formation</w:t>
      </w:r>
    </w:p>
    <w:p w:rsidR="00715673" w:rsidRDefault="00715673" w:rsidP="00715673">
      <w:r>
        <w:t>In the analogue world, watermark studies must rank near the top of list of undertakings requiring an enormous reserve of patience and persistence.  Despite the existence of many reputable catalogues of watermarks, the number of practical difficulties encountered when collating large numbers of very similar drawings and other imagines is very great.  The mark is not visible; the mark and countermark have become separated and the paper cannot be securely identified.  The paper has stretched; the paper has shrunk.  The library has no light</w:t>
      </w:r>
      <w:r w:rsidR="00770803">
        <w:t>-</w:t>
      </w:r>
      <w:r>
        <w:t>box.  No tracings are permitted.  Worst of all, no two subject-oriented groups of scholars (from within the same discipline) record the same details</w:t>
      </w:r>
      <w:r w:rsidR="00770803">
        <w:t xml:space="preserve"> about sources.  </w:t>
      </w:r>
    </w:p>
    <w:p w:rsidR="002A44CC" w:rsidRDefault="002A44CC" w:rsidP="00715673">
      <w:r w:rsidRPr="002A44CC">
        <w:rPr>
          <w:noProof/>
        </w:rPr>
        <w:drawing>
          <wp:inline distT="0" distB="0" distL="0" distR="0" wp14:anchorId="6DD16792" wp14:editId="157F3205">
            <wp:extent cx="3443386" cy="2568271"/>
            <wp:effectExtent l="0" t="0" r="5080" b="381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46558" cy="2570637"/>
                    </a:xfrm>
                    <a:prstGeom prst="rect">
                      <a:avLst/>
                    </a:prstGeom>
                  </pic:spPr>
                </pic:pic>
              </a:graphicData>
            </a:graphic>
          </wp:inline>
        </w:drawing>
      </w:r>
    </w:p>
    <w:p w:rsidR="002A44CC" w:rsidRPr="008E5B08" w:rsidRDefault="008E5B08" w:rsidP="00715673">
      <w:pPr>
        <w:rPr>
          <w:i/>
        </w:rPr>
      </w:pPr>
      <w:proofErr w:type="gramStart"/>
      <w:r w:rsidRPr="008E5B08">
        <w:rPr>
          <w:i/>
        </w:rPr>
        <w:t>Fig. 7.</w:t>
      </w:r>
      <w:proofErr w:type="gramEnd"/>
      <w:r w:rsidRPr="008E5B08">
        <w:rPr>
          <w:i/>
        </w:rPr>
        <w:t xml:space="preserve">  </w:t>
      </w:r>
      <w:proofErr w:type="gramStart"/>
      <w:r w:rsidRPr="008E5B08">
        <w:rPr>
          <w:i/>
        </w:rPr>
        <w:t xml:space="preserve">Dexter Edge, </w:t>
      </w:r>
      <w:r w:rsidR="002A44CC" w:rsidRPr="008E5B08">
        <w:rPr>
          <w:i/>
        </w:rPr>
        <w:t>“Mozart’s Viennese Copyists,” The Virtual Score (as above), pp. 261-274.</w:t>
      </w:r>
      <w:proofErr w:type="gramEnd"/>
      <w:r w:rsidR="002A44CC" w:rsidRPr="008E5B08">
        <w:rPr>
          <w:i/>
        </w:rPr>
        <w:t xml:space="preserve">  </w:t>
      </w:r>
      <w:r w:rsidRPr="008E5B08">
        <w:rPr>
          <w:i/>
        </w:rPr>
        <w:t>Background image (“</w:t>
      </w:r>
      <w:proofErr w:type="spellStart"/>
      <w:r w:rsidRPr="008E5B08">
        <w:rPr>
          <w:i/>
        </w:rPr>
        <w:t>transmissive</w:t>
      </w:r>
      <w:proofErr w:type="spellEnd"/>
      <w:r w:rsidRPr="008E5B08">
        <w:rPr>
          <w:i/>
        </w:rPr>
        <w:t xml:space="preserve"> scan”), the second of four phases of capture, of an Adagio and Polonaise for Piano by </w:t>
      </w:r>
      <w:proofErr w:type="spellStart"/>
      <w:r w:rsidRPr="008E5B08">
        <w:rPr>
          <w:i/>
        </w:rPr>
        <w:t>Iwan</w:t>
      </w:r>
      <w:proofErr w:type="spellEnd"/>
      <w:r w:rsidRPr="008E5B08">
        <w:rPr>
          <w:i/>
        </w:rPr>
        <w:t xml:space="preserve"> Müller, Louisiana State University Library, </w:t>
      </w:r>
      <w:proofErr w:type="spellStart"/>
      <w:r w:rsidRPr="008E5B08">
        <w:rPr>
          <w:i/>
        </w:rPr>
        <w:t>Shelfmark</w:t>
      </w:r>
      <w:proofErr w:type="spellEnd"/>
      <w:r w:rsidRPr="008E5B08">
        <w:rPr>
          <w:i/>
        </w:rPr>
        <w:t xml:space="preserve"> 788.6 M88a, as shown in The Virtual Score, p. 265.  Used by permission.</w:t>
      </w:r>
    </w:p>
    <w:p w:rsidR="00770803" w:rsidRDefault="00770803" w:rsidP="00715673">
      <w:r>
        <w:t>Digital photography and image processing are rapidly pushing these obstacles aside.  It follows long line of other approaches: freehand drawing, tracing, chain-line measurements, beta-radiography, infrared disclosure, and laser surface scans.  As in the Byrd work, digital photographs can be overlaid to evaluate sameness (measures of similarity being a treacherous and arbitrary alternative).  Dexter Edge’s efforts on Viennese copyists of Mozart represented an interesting effort to corral and systematize watermark information</w:t>
      </w:r>
      <w:r w:rsidRPr="002A44CC">
        <w:rPr>
          <w:highlight w:val="yellow"/>
        </w:rPr>
        <w:t>. {</w:t>
      </w:r>
      <w:proofErr w:type="gramStart"/>
      <w:r w:rsidRPr="002A44CC">
        <w:rPr>
          <w:highlight w:val="yellow"/>
        </w:rPr>
        <w:t>credits</w:t>
      </w:r>
      <w:proofErr w:type="gramEnd"/>
      <w:r w:rsidRPr="002A44CC">
        <w:rPr>
          <w:highlight w:val="yellow"/>
        </w:rPr>
        <w:t>}</w:t>
      </w:r>
      <w:r>
        <w:t xml:space="preserve"> </w:t>
      </w:r>
    </w:p>
    <w:p w:rsidR="00770803" w:rsidRDefault="00770803" w:rsidP="00715673">
      <w:r>
        <w:t xml:space="preserve">The ages of digitized manuscripts has opened up the new prospect of coordinated information: </w:t>
      </w:r>
      <w:r w:rsidR="00866543">
        <w:t xml:space="preserve">watermark information is linked.  Diverse technical approaches are involved in three current German projects that are pertinent to music.  These are in Dresden, Stuttgart, and Berlin.  </w:t>
      </w:r>
      <w:r w:rsidR="003D1C30">
        <w:t xml:space="preserve">The first two have been in existence for a slightly longer time and have some links between them.  When the </w:t>
      </w:r>
      <w:proofErr w:type="spellStart"/>
      <w:r w:rsidR="003D1C30">
        <w:lastRenderedPageBreak/>
        <w:t>Schrank</w:t>
      </w:r>
      <w:proofErr w:type="spellEnd"/>
      <w:r w:rsidR="003D1C30">
        <w:t xml:space="preserve"> II (eighteenth-century manuscript) project was launched five years ago, the watermarks in each manuscript </w:t>
      </w:r>
      <w:bookmarkStart w:id="0" w:name="_GoBack"/>
      <w:bookmarkEnd w:id="0"/>
    </w:p>
    <w:p w:rsidR="003D1C30" w:rsidRPr="00715673" w:rsidRDefault="003D1C30" w:rsidP="00715673"/>
    <w:p w:rsidR="003938EE" w:rsidRDefault="003938EE" w:rsidP="003938EE">
      <w:pPr>
        <w:pStyle w:val="ListParagraph"/>
      </w:pPr>
    </w:p>
    <w:p w:rsidR="00715673" w:rsidRDefault="00715673" w:rsidP="003938EE">
      <w:pPr>
        <w:pStyle w:val="ListParagraph"/>
      </w:pPr>
    </w:p>
    <w:p w:rsidR="00894507" w:rsidRDefault="00A26683" w:rsidP="00800009">
      <w:pPr>
        <w:pStyle w:val="Heading2"/>
        <w:numPr>
          <w:ilvl w:val="0"/>
          <w:numId w:val="14"/>
        </w:numPr>
      </w:pPr>
      <w:r>
        <w:t>Linking</w:t>
      </w:r>
      <w:r w:rsidR="00894507">
        <w:t xml:space="preserve"> systems of graphical information</w:t>
      </w:r>
    </w:p>
    <w:p w:rsidR="00894507" w:rsidRDefault="00894507" w:rsidP="00894507">
      <w:pPr>
        <w:pStyle w:val="Heading3"/>
        <w:numPr>
          <w:ilvl w:val="0"/>
          <w:numId w:val="10"/>
        </w:numPr>
      </w:pPr>
      <w:r>
        <w:t>RISM Online</w:t>
      </w:r>
      <w:r w:rsidR="00A26683">
        <w:t xml:space="preserve"> </w:t>
      </w:r>
    </w:p>
    <w:p w:rsidR="00894507" w:rsidRDefault="00894507" w:rsidP="00894507">
      <w:pPr>
        <w:pStyle w:val="Heading3"/>
        <w:numPr>
          <w:ilvl w:val="0"/>
          <w:numId w:val="10"/>
        </w:numPr>
      </w:pPr>
      <w:r>
        <w:t>SLUB/</w:t>
      </w:r>
      <w:proofErr w:type="spellStart"/>
      <w:r>
        <w:t>Schrank</w:t>
      </w:r>
      <w:proofErr w:type="spellEnd"/>
      <w:r>
        <w:t xml:space="preserve"> II</w:t>
      </w:r>
    </w:p>
    <w:p w:rsidR="00E25C7B" w:rsidRDefault="00894507" w:rsidP="00894507">
      <w:r>
        <w:t>[</w:t>
      </w:r>
      <w:proofErr w:type="gramStart"/>
      <w:r w:rsidR="00A26683">
        <w:t>diverse</w:t>
      </w:r>
      <w:proofErr w:type="gramEnd"/>
      <w:r w:rsidR="00A26683">
        <w:t xml:space="preserve"> kinds of knowledge with original sources</w:t>
      </w:r>
      <w:r w:rsidR="003938EE">
        <w:t xml:space="preserve"> (MSS and watermarks)</w:t>
      </w:r>
    </w:p>
    <w:p w:rsidR="00477B64" w:rsidRDefault="00477B64" w:rsidP="00434380">
      <w:r>
        <w:t xml:space="preserve">With respect to common research methodologies that have played a role in my previous work (source evaluation, watermark clusters, dating from watermarks, </w:t>
      </w:r>
      <w:proofErr w:type="spellStart"/>
      <w:r>
        <w:t>copists</w:t>
      </w:r>
      <w:proofErr w:type="spellEnd"/>
      <w:r>
        <w:t xml:space="preserve">’ hands, collection formation), an endlessly rich model for reflection is offered by the </w:t>
      </w:r>
      <w:proofErr w:type="spellStart"/>
      <w:r>
        <w:t>Schrank</w:t>
      </w:r>
      <w:proofErr w:type="spellEnd"/>
      <w:r>
        <w:t xml:space="preserve"> II collection at the </w:t>
      </w:r>
      <w:proofErr w:type="spellStart"/>
      <w:r>
        <w:t>Sächsische</w:t>
      </w:r>
      <w:proofErr w:type="spellEnd"/>
      <w:r>
        <w:t xml:space="preserve"> </w:t>
      </w:r>
      <w:proofErr w:type="spellStart"/>
      <w:r>
        <w:t>Landesbibliothek</w:t>
      </w:r>
      <w:proofErr w:type="spellEnd"/>
      <w:r>
        <w:t xml:space="preserve"> Dresden.==</w:t>
      </w:r>
    </w:p>
    <w:p w:rsidR="00606902" w:rsidRDefault="001459C4" w:rsidP="00434380">
      <w:r>
        <w:t xml:space="preserve">A continuously greater number of variations can be subscribed under this general model.  As someone who works primarily with seventeenth- and eighteenth-century materials, I cannot praise enough the online treasurers of the </w:t>
      </w:r>
      <w:proofErr w:type="spellStart"/>
      <w:r>
        <w:t>Schrank</w:t>
      </w:r>
      <w:proofErr w:type="spellEnd"/>
      <w:r>
        <w:t xml:space="preserve"> II collection of manuscripts </w:t>
      </w:r>
      <w:r w:rsidR="00C87698">
        <w:t xml:space="preserve">(named for the cabinet in which they reposed from </w:t>
      </w:r>
      <w:r w:rsidR="00782388">
        <w:t xml:space="preserve">Johann </w:t>
      </w:r>
      <w:proofErr w:type="spellStart"/>
      <w:r w:rsidR="00C87698">
        <w:t>Pisendel’s</w:t>
      </w:r>
      <w:proofErr w:type="spellEnd"/>
      <w:r w:rsidR="00C87698">
        <w:t xml:space="preserve"> time to our own) at the </w:t>
      </w:r>
      <w:proofErr w:type="spellStart"/>
      <w:r w:rsidR="00C87698">
        <w:t>Sächsische</w:t>
      </w:r>
      <w:proofErr w:type="spellEnd"/>
      <w:r w:rsidR="00C87698">
        <w:t xml:space="preserve"> </w:t>
      </w:r>
      <w:proofErr w:type="spellStart"/>
      <w:r w:rsidR="00C87698">
        <w:t>Landesbibliothek</w:t>
      </w:r>
      <w:proofErr w:type="spellEnd"/>
      <w:r w:rsidR="00C87698">
        <w:t xml:space="preserve"> Dresden.  </w:t>
      </w:r>
    </w:p>
    <w:p w:rsidR="00606902" w:rsidRDefault="00606902" w:rsidP="00434380">
      <w:r>
        <w:t>[</w:t>
      </w:r>
      <w:proofErr w:type="gramStart"/>
      <w:r>
        <w:t>but</w:t>
      </w:r>
      <w:proofErr w:type="gramEnd"/>
      <w:r>
        <w:t xml:space="preserve"> hard to find: </w:t>
      </w:r>
      <w:hyperlink r:id="rId19" w:history="1">
        <w:r w:rsidRPr="00606902">
          <w:rPr>
            <w:rStyle w:val="Hyperlink"/>
            <w:szCs w:val="24"/>
          </w:rPr>
          <w:t>http://digital.slub-dresden.de/listenansicht/</w:t>
        </w:r>
      </w:hyperlink>
      <w:r>
        <w:t xml:space="preserve"> ]</w:t>
      </w:r>
    </w:p>
    <w:p w:rsidR="001459C4" w:rsidRDefault="00C87698" w:rsidP="00434380">
      <w:r>
        <w:t xml:space="preserve">It is not simply the inherent value of the </w:t>
      </w:r>
      <w:r w:rsidR="00606902">
        <w:t xml:space="preserve">3113 (mainly) eighteenth-century manuscripts now viewable online.  </w:t>
      </w:r>
      <w:proofErr w:type="gramStart"/>
      <w:r w:rsidR="00606902">
        <w:t>The care with which every fly-leaf has been shown before and after turning contributes greatly to simulation of being there in person.</w:t>
      </w:r>
      <w:proofErr w:type="gramEnd"/>
      <w:r w:rsidR="00606902">
        <w:t xml:space="preserve">  In some instances we may be more inclined to notice the digital insertions than we would in the absent-minded process of leafing through a manuscript.  </w:t>
      </w:r>
    </w:p>
    <w:p w:rsidR="0042550F" w:rsidRDefault="00606902" w:rsidP="00434380">
      <w:proofErr w:type="spellStart"/>
      <w:r>
        <w:t>Schrank</w:t>
      </w:r>
      <w:proofErr w:type="spellEnd"/>
      <w:r>
        <w:t xml:space="preserve"> II is hyperlinked to the RISM AII Online Database [</w:t>
      </w:r>
      <w:hyperlink r:id="rId20" w:history="1">
        <w:r w:rsidRPr="00606902">
          <w:rPr>
            <w:rStyle w:val="Hyperlink"/>
            <w:szCs w:val="24"/>
          </w:rPr>
          <w:t>http:/opac.rism.info/</w:t>
        </w:r>
      </w:hyperlink>
      <w:r>
        <w:t>]</w:t>
      </w:r>
      <w:r w:rsidR="0042550F">
        <w:t xml:space="preserve">.  I currently find it more efficient to enter the </w:t>
      </w:r>
      <w:proofErr w:type="spellStart"/>
      <w:r w:rsidR="0042550F">
        <w:t>Dresdener</w:t>
      </w:r>
      <w:proofErr w:type="spellEnd"/>
      <w:r w:rsidR="0042550F">
        <w:t xml:space="preserve"> </w:t>
      </w:r>
      <w:proofErr w:type="spellStart"/>
      <w:r w:rsidR="0042550F">
        <w:t>Hofkapelle</w:t>
      </w:r>
      <w:proofErr w:type="spellEnd"/>
      <w:r w:rsidR="0042550F">
        <w:t xml:space="preserve"> </w:t>
      </w:r>
      <w:proofErr w:type="spellStart"/>
      <w:r w:rsidR="0042550F">
        <w:t>Archiv</w:t>
      </w:r>
      <w:proofErr w:type="spellEnd"/>
      <w:r w:rsidR="0042550F">
        <w:t xml:space="preserve"> via the RISM hyperlinks, because I invariably have some difficult finding the start site, which at this writing is </w:t>
      </w:r>
      <w:hyperlink r:id="rId21" w:history="1">
        <w:r w:rsidR="0042550F" w:rsidRPr="00606902">
          <w:rPr>
            <w:rStyle w:val="Hyperlink"/>
            <w:szCs w:val="24"/>
          </w:rPr>
          <w:t>http://digital.slub-dresden.de/listenansicht/</w:t>
        </w:r>
      </w:hyperlink>
      <w:r w:rsidR="0042550F">
        <w:t xml:space="preserve">.  {SLUB’s homepage may need some hints for those with </w:t>
      </w:r>
      <w:proofErr w:type="gramStart"/>
      <w:r w:rsidR="0042550F">
        <w:t>a  limited</w:t>
      </w:r>
      <w:proofErr w:type="gramEnd"/>
      <w:r w:rsidR="0042550F">
        <w:t xml:space="preserve"> command of German}</w:t>
      </w:r>
    </w:p>
    <w:p w:rsidR="00AE4C0E" w:rsidRDefault="0042550F" w:rsidP="00434380">
      <w:r>
        <w:t xml:space="preserve">Like most of the larger </w:t>
      </w:r>
      <w:proofErr w:type="gramStart"/>
      <w:r>
        <w:t>databases  for</w:t>
      </w:r>
      <w:proofErr w:type="gramEnd"/>
      <w:r>
        <w:t xml:space="preserve"> music and musicology in Germany, SLUB entries display persistent URLs, a requirement I wish were international.  On a recent (virtual) visit I was interested in </w:t>
      </w:r>
      <w:r w:rsidR="00AE4C0E">
        <w:t xml:space="preserve">finding the autograph of a Vivaldi concerto in A Major (RV 340).  </w:t>
      </w:r>
      <w:r w:rsidR="00FC5E3C">
        <w:t xml:space="preserve">The (analogue) </w:t>
      </w:r>
      <w:proofErr w:type="spellStart"/>
      <w:r w:rsidR="00FC5E3C">
        <w:t>shelfmark</w:t>
      </w:r>
      <w:proofErr w:type="spellEnd"/>
      <w:r w:rsidR="00FC5E3C">
        <w:t xml:space="preserve"> is </w:t>
      </w:r>
      <w:proofErr w:type="spellStart"/>
      <w:r w:rsidR="00FC5E3C" w:rsidRPr="00FC5E3C">
        <w:t>Mus</w:t>
      </w:r>
      <w:proofErr w:type="spellEnd"/>
      <w:r w:rsidR="00FC5E3C" w:rsidRPr="00FC5E3C">
        <w:t xml:space="preserve"> MS 2389-O-43</w:t>
      </w:r>
      <w:r w:rsidR="00FC5E3C">
        <w:t xml:space="preserve">.  </w:t>
      </w:r>
      <w:r w:rsidR="00AE4C0E">
        <w:t xml:space="preserve">I found it </w:t>
      </w:r>
    </w:p>
    <w:p w:rsidR="00AE4C0E" w:rsidRDefault="00AE4C0E" w:rsidP="00434380">
      <w:r>
        <w:t xml:space="preserve">The RISM listing at </w:t>
      </w:r>
      <w:hyperlink r:id="rId22" w:history="1">
        <w:r w:rsidRPr="006849AA">
          <w:rPr>
            <w:rStyle w:val="Hyperlink"/>
            <w:szCs w:val="24"/>
          </w:rPr>
          <w:t>http://opac.rism.info/index.php?id=6&amp;no_cache=1&amp;L=0&amp;tx_bsbsearch_pi1%5Bquery%5D%5B0%5D=RV%20340&amp;tx_bsbsearch_pi1%5Bid%5D=212000183</w:t>
        </w:r>
      </w:hyperlink>
    </w:p>
    <w:p w:rsidR="00AE4C0E" w:rsidRDefault="00AE4C0E" w:rsidP="00434380">
      <w:proofErr w:type="gramStart"/>
      <w:r>
        <w:lastRenderedPageBreak/>
        <w:t xml:space="preserve">Gives the whole trail of its previous </w:t>
      </w:r>
      <w:proofErr w:type="spellStart"/>
      <w:r>
        <w:t>shelfmarks</w:t>
      </w:r>
      <w:proofErr w:type="spellEnd"/>
      <w:r>
        <w:t xml:space="preserve"> in Dresden.</w:t>
      </w:r>
      <w:proofErr w:type="gramEnd"/>
      <w:r>
        <w:t xml:space="preserve">  (One of the efficiencies that the online bibliographies bring is the need to make these trails transparent and to rid librarians of the task of compiling endless concordances.) The hyperlink found on the RISM page appends the persistent URL for this manuscript: </w:t>
      </w:r>
      <w:hyperlink r:id="rId23" w:tgtFrame="_blank" w:history="1">
        <w:r>
          <w:rPr>
            <w:rStyle w:val="Hyperlink"/>
            <w:color w:val="005091"/>
            <w:sz w:val="23"/>
            <w:szCs w:val="23"/>
            <w:shd w:val="clear" w:color="auto" w:fill="FFFFFF"/>
          </w:rPr>
          <w:t>http://digital.slub-dresden.de/ppn316139777</w:t>
        </w:r>
      </w:hyperlink>
      <w:r>
        <w:t xml:space="preserve">. </w:t>
      </w:r>
      <w:r w:rsidR="00434380">
        <w:t xml:space="preserve">The degree of consistency between RISM and the </w:t>
      </w:r>
      <w:proofErr w:type="spellStart"/>
      <w:r w:rsidR="00434380">
        <w:t>Hofkapelle</w:t>
      </w:r>
      <w:proofErr w:type="spellEnd"/>
      <w:r w:rsidR="00434380">
        <w:t xml:space="preserve"> is very reassuring: even the cadenza that is scribbled on an inserted leaf is indexed in RISM, as we seen in the composite Figure 1.</w:t>
      </w:r>
    </w:p>
    <w:p w:rsidR="00434380" w:rsidRDefault="00434380" w:rsidP="00434380">
      <w:r w:rsidRPr="00434380">
        <w:rPr>
          <w:noProof/>
        </w:rPr>
        <w:drawing>
          <wp:inline distT="0" distB="0" distL="0" distR="0" wp14:anchorId="390AAA37" wp14:editId="6930D326">
            <wp:extent cx="4540195" cy="3419698"/>
            <wp:effectExtent l="0" t="0" r="0" b="0"/>
            <wp:docPr id="19461"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461" name="Content Placeholder 9"/>
                    <pic:cNvPicPr>
                      <a:picLocks noGrp="1"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40195" cy="3419698"/>
                    </a:xfrm>
                    <a:prstGeom prst="rect">
                      <a:avLst/>
                    </a:prstGeom>
                    <a:noFill/>
                    <a:ln>
                      <a:noFill/>
                    </a:ln>
                    <a:extLst/>
                  </pic:spPr>
                </pic:pic>
              </a:graphicData>
            </a:graphic>
          </wp:inline>
        </w:drawing>
      </w:r>
    </w:p>
    <w:p w:rsidR="000C7098" w:rsidRDefault="000C7098" w:rsidP="00434380">
      <w:r w:rsidRPr="000C7098">
        <w:rPr>
          <w:noProof/>
        </w:rPr>
        <w:drawing>
          <wp:inline distT="0" distB="0" distL="0" distR="0" wp14:anchorId="11214A79" wp14:editId="4532CC7D">
            <wp:extent cx="3429000" cy="319088"/>
            <wp:effectExtent l="0" t="0" r="0" b="5080"/>
            <wp:docPr id="19463" name="Picture 2" descr="Incipit-Nr.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 name="Picture 2" descr="Incipit-Nr. 1.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29000" cy="319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C7098" w:rsidRDefault="000C7098" w:rsidP="00434380"/>
    <w:p w:rsidR="00AE4C0E" w:rsidRDefault="00AE4C0E" w:rsidP="00434380">
      <w:r>
        <w:t>Under the “recherché” heading at (</w:t>
      </w:r>
      <w:hyperlink r:id="rId26" w:history="1">
        <w:r w:rsidRPr="006849AA">
          <w:rPr>
            <w:rStyle w:val="Hyperlink"/>
          </w:rPr>
          <w:t>www.schrank-zwei.de/suche/</w:t>
        </w:r>
      </w:hyperlink>
      <w:r>
        <w:t xml:space="preserve">) one can also find the very valuable Schreiber- and </w:t>
      </w:r>
      <w:proofErr w:type="spellStart"/>
      <w:r>
        <w:t>Wasserzeichen</w:t>
      </w:r>
      <w:proofErr w:type="spellEnd"/>
      <w:r>
        <w:t xml:space="preserve">- </w:t>
      </w:r>
      <w:proofErr w:type="spellStart"/>
      <w:r>
        <w:t>Katalogen</w:t>
      </w:r>
      <w:proofErr w:type="spellEnd"/>
      <w:r>
        <w:t xml:space="preserve">.  </w:t>
      </w:r>
      <w:r w:rsidR="00434380">
        <w:t xml:space="preserve">For this concerto, which was dedicated to </w:t>
      </w:r>
      <w:proofErr w:type="spellStart"/>
      <w:r w:rsidR="00434380">
        <w:t>Pisendel</w:t>
      </w:r>
      <w:proofErr w:type="spellEnd"/>
      <w:r w:rsidR="00434380">
        <w:t xml:space="preserve"> (probably during his visit to Venice in 1716-17), the transcriber is of course Vivaldi.  The watermarks found on the paper are W-Dl 131 and W-Dl 394, neither of which (we learn from the watermark database) </w:t>
      </w:r>
      <w:proofErr w:type="gramStart"/>
      <w:r w:rsidR="00434380">
        <w:t>find</w:t>
      </w:r>
      <w:proofErr w:type="gramEnd"/>
      <w:r w:rsidR="00434380">
        <w:t xml:space="preserve"> many concordances in the rest of the collection.  </w:t>
      </w:r>
    </w:p>
    <w:p w:rsidR="006F4112" w:rsidRPr="001459C4" w:rsidRDefault="006F4112" w:rsidP="00434380"/>
    <w:p w:rsidR="00A206D1" w:rsidRDefault="003938EE" w:rsidP="003938EE">
      <w:pPr>
        <w:pStyle w:val="Heading2"/>
      </w:pPr>
      <w:r>
        <w:t>3. Iconographical studies</w:t>
      </w:r>
      <w:r w:rsidR="00894507">
        <w:t xml:space="preserve"> (without enhancement)</w:t>
      </w:r>
    </w:p>
    <w:p w:rsidR="003938EE" w:rsidRDefault="003938EE" w:rsidP="00434380">
      <w:r>
        <w:t>Access confers its own benefits without enhancement: we realize that for more than a century we have been studying our discipline at arm’s length from the object of interest</w:t>
      </w:r>
    </w:p>
    <w:p w:rsidR="003938EE" w:rsidRDefault="003938EE" w:rsidP="00894507">
      <w:pPr>
        <w:pStyle w:val="Heading3"/>
        <w:numPr>
          <w:ilvl w:val="0"/>
          <w:numId w:val="11"/>
        </w:numPr>
      </w:pPr>
      <w:r>
        <w:t>Vitae: LC: Aaron Copland</w:t>
      </w:r>
    </w:p>
    <w:p w:rsidR="00894507" w:rsidRDefault="00894507" w:rsidP="00894507">
      <w:pPr>
        <w:pStyle w:val="Heading3"/>
        <w:numPr>
          <w:ilvl w:val="0"/>
          <w:numId w:val="11"/>
        </w:numPr>
      </w:pPr>
      <w:r>
        <w:t>Images of musicians in society</w:t>
      </w:r>
    </w:p>
    <w:p w:rsidR="003938EE" w:rsidRDefault="003938EE" w:rsidP="00894507">
      <w:pPr>
        <w:ind w:firstLine="720"/>
      </w:pPr>
      <w:r>
        <w:lastRenderedPageBreak/>
        <w:t>Views of artists and warriors in iconographical sources</w:t>
      </w:r>
    </w:p>
    <w:p w:rsidR="00894507" w:rsidRDefault="003938EE" w:rsidP="00894507">
      <w:pPr>
        <w:pStyle w:val="Heading3"/>
        <w:numPr>
          <w:ilvl w:val="0"/>
          <w:numId w:val="11"/>
        </w:numPr>
      </w:pPr>
      <w:r>
        <w:t xml:space="preserve">Festival books: </w:t>
      </w:r>
    </w:p>
    <w:p w:rsidR="003938EE" w:rsidRDefault="003938EE" w:rsidP="00894507">
      <w:pPr>
        <w:ind w:firstLine="360"/>
      </w:pPr>
      <w:proofErr w:type="gramStart"/>
      <w:r>
        <w:t>images</w:t>
      </w:r>
      <w:proofErr w:type="gramEnd"/>
      <w:r>
        <w:t xml:space="preserve"> that represent the power and prestige of events rather than music per se</w:t>
      </w:r>
    </w:p>
    <w:p w:rsidR="003938EE" w:rsidRDefault="003938EE" w:rsidP="003938EE">
      <w:pPr>
        <w:pStyle w:val="Heading2"/>
      </w:pPr>
      <w:r>
        <w:t>4. Textual sources (databases)</w:t>
      </w:r>
    </w:p>
    <w:p w:rsidR="003938EE" w:rsidRPr="00CA0A37" w:rsidRDefault="00CA0A37" w:rsidP="00CA0A37">
      <w:pPr>
        <w:pStyle w:val="Heading3"/>
      </w:pPr>
      <w:r w:rsidRPr="00CA0A37">
        <w:t xml:space="preserve">A. </w:t>
      </w:r>
      <w:r w:rsidR="003938EE" w:rsidRPr="00CA0A37">
        <w:t>Libretto access</w:t>
      </w:r>
    </w:p>
    <w:p w:rsidR="003938EE" w:rsidRDefault="003938EE" w:rsidP="003938EE">
      <w:pPr>
        <w:ind w:left="720"/>
      </w:pPr>
      <w:proofErr w:type="spellStart"/>
      <w:r>
        <w:t>Raccolta</w:t>
      </w:r>
      <w:proofErr w:type="spellEnd"/>
      <w:r>
        <w:t xml:space="preserve"> </w:t>
      </w:r>
      <w:proofErr w:type="spellStart"/>
      <w:r>
        <w:t>drammatica</w:t>
      </w:r>
      <w:proofErr w:type="spellEnd"/>
    </w:p>
    <w:p w:rsidR="003938EE" w:rsidRDefault="003938EE" w:rsidP="003938EE">
      <w:pPr>
        <w:ind w:left="720"/>
      </w:pPr>
      <w:proofErr w:type="spellStart"/>
      <w:r>
        <w:t>VifaMusik</w:t>
      </w:r>
      <w:proofErr w:type="spellEnd"/>
      <w:r>
        <w:t>/Rom</w:t>
      </w:r>
    </w:p>
    <w:p w:rsidR="003938EE" w:rsidRDefault="003938EE" w:rsidP="003938EE">
      <w:pPr>
        <w:ind w:left="720"/>
      </w:pPr>
      <w:r>
        <w:t>Delia example</w:t>
      </w:r>
    </w:p>
    <w:p w:rsidR="003938EE" w:rsidRDefault="003938EE" w:rsidP="00CA0A37">
      <w:pPr>
        <w:pStyle w:val="ListParagraph"/>
        <w:numPr>
          <w:ilvl w:val="0"/>
          <w:numId w:val="10"/>
        </w:numPr>
      </w:pPr>
      <w:r w:rsidRPr="003938EE">
        <w:rPr>
          <w:rStyle w:val="Heading3Char"/>
        </w:rPr>
        <w:t>Composer correspondence (Berg</w:t>
      </w:r>
      <w:r>
        <w:t>)</w:t>
      </w:r>
    </w:p>
    <w:p w:rsidR="003938EE" w:rsidRDefault="003938EE" w:rsidP="00434380"/>
    <w:p w:rsidR="003938EE" w:rsidRDefault="003938EE" w:rsidP="00800009">
      <w:pPr>
        <w:pStyle w:val="Heading2"/>
        <w:numPr>
          <w:ilvl w:val="0"/>
          <w:numId w:val="14"/>
        </w:numPr>
      </w:pPr>
      <w:r>
        <w:t>Geospatial analysis</w:t>
      </w:r>
    </w:p>
    <w:p w:rsidR="00CA0A37" w:rsidRDefault="00CA0A37" w:rsidP="00CA0A37">
      <w:pPr>
        <w:pStyle w:val="ListParagraph"/>
        <w:numPr>
          <w:ilvl w:val="0"/>
          <w:numId w:val="12"/>
        </w:numPr>
      </w:pPr>
      <w:r>
        <w:t>Map references per se</w:t>
      </w:r>
    </w:p>
    <w:p w:rsidR="00CA0A37" w:rsidRDefault="00CA0A37" w:rsidP="00CA0A37">
      <w:pPr>
        <w:pStyle w:val="ListParagraph"/>
        <w:numPr>
          <w:ilvl w:val="0"/>
          <w:numId w:val="12"/>
        </w:numPr>
      </w:pPr>
      <w:r>
        <w:t>Structured information superimposed on maps</w:t>
      </w:r>
    </w:p>
    <w:p w:rsidR="00CA0A37" w:rsidRDefault="00CA0A37" w:rsidP="00CA0A37">
      <w:pPr>
        <w:pStyle w:val="ListParagraph"/>
        <w:numPr>
          <w:ilvl w:val="0"/>
          <w:numId w:val="12"/>
        </w:numPr>
      </w:pPr>
      <w:r>
        <w:t>Feature localization</w:t>
      </w:r>
    </w:p>
    <w:p w:rsidR="00CA0A37" w:rsidRDefault="00CA0A37" w:rsidP="00800009">
      <w:pPr>
        <w:pStyle w:val="Heading2"/>
        <w:numPr>
          <w:ilvl w:val="0"/>
          <w:numId w:val="14"/>
        </w:numPr>
      </w:pPr>
      <w:r w:rsidRPr="00CA0A37">
        <w:t>Performance and other audio-based studies</w:t>
      </w:r>
    </w:p>
    <w:p w:rsidR="00CA0A37" w:rsidRDefault="00CA0A37" w:rsidP="00CA0A37">
      <w:pPr>
        <w:ind w:left="720"/>
      </w:pPr>
      <w:r>
        <w:t>Depiction of elapsed (event) time as fundamental element</w:t>
      </w:r>
    </w:p>
    <w:p w:rsidR="00CA0A37" w:rsidRDefault="00CA0A37" w:rsidP="00CA0A37">
      <w:pPr>
        <w:ind w:left="720"/>
      </w:pPr>
      <w:r>
        <w:tab/>
      </w:r>
      <w:proofErr w:type="spellStart"/>
      <w:r>
        <w:t>Sonographs</w:t>
      </w:r>
      <w:proofErr w:type="spellEnd"/>
    </w:p>
    <w:p w:rsidR="00CA0A37" w:rsidRDefault="00CA0A37" w:rsidP="00CA0A37">
      <w:pPr>
        <w:ind w:left="720"/>
      </w:pPr>
      <w:r>
        <w:tab/>
        <w:t>Performance worms</w:t>
      </w:r>
    </w:p>
    <w:p w:rsidR="00CA0A37" w:rsidRDefault="00CA0A37" w:rsidP="00CA0A37">
      <w:pPr>
        <w:ind w:left="720"/>
      </w:pPr>
      <w:r>
        <w:tab/>
        <w:t>Record legitimacy</w:t>
      </w:r>
    </w:p>
    <w:p w:rsidR="00CA0A37" w:rsidRDefault="00CA0A37" w:rsidP="00CA0A37">
      <w:pPr>
        <w:ind w:left="720"/>
      </w:pPr>
      <w:r>
        <w:tab/>
        <w:t>Music outside written traditions</w:t>
      </w:r>
    </w:p>
    <w:p w:rsidR="00CA0A37" w:rsidRDefault="00CA0A37" w:rsidP="00CA0A37">
      <w:pPr>
        <w:ind w:left="720"/>
      </w:pPr>
      <w:r>
        <w:tab/>
        <w:t>Confrontation of “secret” traditions</w:t>
      </w:r>
    </w:p>
    <w:p w:rsidR="00CA0A37" w:rsidRDefault="00CA0A37" w:rsidP="00CA0A37">
      <w:pPr>
        <w:ind w:left="720"/>
      </w:pPr>
      <w:r>
        <w:tab/>
        <w:t>Developing theories of music from direct observation (and processing)</w:t>
      </w:r>
    </w:p>
    <w:p w:rsidR="00CA0A37" w:rsidRDefault="00CA0A37" w:rsidP="00800009">
      <w:pPr>
        <w:pStyle w:val="Heading2"/>
        <w:numPr>
          <w:ilvl w:val="0"/>
          <w:numId w:val="14"/>
        </w:numPr>
      </w:pPr>
      <w:r>
        <w:t>Music query</w:t>
      </w:r>
    </w:p>
    <w:p w:rsidR="00066256" w:rsidRDefault="00066256" w:rsidP="00066256">
      <w:pPr>
        <w:ind w:left="720"/>
      </w:pPr>
      <w:proofErr w:type="spellStart"/>
      <w:r>
        <w:t>Themefinder</w:t>
      </w:r>
      <w:proofErr w:type="spellEnd"/>
    </w:p>
    <w:p w:rsidR="00066256" w:rsidRDefault="00066256" w:rsidP="00066256">
      <w:pPr>
        <w:ind w:left="720"/>
      </w:pPr>
      <w:r>
        <w:t xml:space="preserve">Liber </w:t>
      </w:r>
      <w:proofErr w:type="spellStart"/>
      <w:r>
        <w:t>usualis</w:t>
      </w:r>
      <w:proofErr w:type="spellEnd"/>
    </w:p>
    <w:p w:rsidR="00066256" w:rsidRDefault="00066256" w:rsidP="00066256">
      <w:pPr>
        <w:ind w:left="720"/>
      </w:pPr>
      <w:proofErr w:type="spellStart"/>
      <w:r>
        <w:t>Peachnote</w:t>
      </w:r>
      <w:proofErr w:type="spellEnd"/>
    </w:p>
    <w:p w:rsidR="00066256" w:rsidRDefault="00066256" w:rsidP="00066256">
      <w:pPr>
        <w:ind w:left="720"/>
      </w:pPr>
      <w:r>
        <w:t>JRP</w:t>
      </w:r>
    </w:p>
    <w:p w:rsidR="00066256" w:rsidRDefault="00066256" w:rsidP="00066256">
      <w:pPr>
        <w:ind w:left="720"/>
      </w:pPr>
      <w:r>
        <w:t>Data visualization</w:t>
      </w:r>
    </w:p>
    <w:p w:rsidR="00066256" w:rsidRDefault="00066256" w:rsidP="00800009">
      <w:pPr>
        <w:pStyle w:val="ListParagraph"/>
        <w:numPr>
          <w:ilvl w:val="0"/>
          <w:numId w:val="14"/>
        </w:numPr>
      </w:pPr>
      <w:r>
        <w:t>Expertise in the digital future</w:t>
      </w:r>
    </w:p>
    <w:p w:rsidR="00066256" w:rsidRDefault="00066256" w:rsidP="00066256">
      <w:r>
        <w:lastRenderedPageBreak/>
        <w:t xml:space="preserve">We all have lots of worries about the erosion of expertise, but protected sources are not always superior (Grove/wiki).  </w:t>
      </w:r>
      <w:proofErr w:type="gramStart"/>
      <w:r>
        <w:t>Only as good as the shelf-life of contributing experts.</w:t>
      </w:r>
      <w:proofErr w:type="gramEnd"/>
      <w:r>
        <w:t xml:space="preserve">  </w:t>
      </w:r>
    </w:p>
    <w:p w:rsidR="00066256" w:rsidRDefault="00066256" w:rsidP="00066256">
      <w:r>
        <w:t xml:space="preserve">The little-discussed side of this whether students of tomorrow to take advantage of all the access available become more knowledgeable than their teachers.  </w:t>
      </w:r>
      <w:proofErr w:type="gramStart"/>
      <w:r>
        <w:t>Examples from middle ages.</w:t>
      </w:r>
      <w:proofErr w:type="gramEnd"/>
    </w:p>
    <w:p w:rsidR="00066256" w:rsidRDefault="00066256" w:rsidP="00066256"/>
    <w:p w:rsidR="00066256" w:rsidRDefault="00615921" w:rsidP="00066256">
      <w:r>
        <w:t>List of sources requiring permissions (pick 8)</w:t>
      </w:r>
    </w:p>
    <w:p w:rsidR="00615921" w:rsidRDefault="00615921" w:rsidP="00066256"/>
    <w:p w:rsidR="00066256" w:rsidRPr="00066256" w:rsidRDefault="00066256" w:rsidP="00066256">
      <w:pPr>
        <w:ind w:left="720"/>
      </w:pPr>
    </w:p>
    <w:p w:rsidR="00CA0A37" w:rsidRPr="00CA0A37" w:rsidRDefault="00CA0A37" w:rsidP="00CA0A37"/>
    <w:p w:rsidR="00CA0A37" w:rsidRPr="00CA0A37" w:rsidRDefault="00CA0A37" w:rsidP="00CA0A37">
      <w:pPr>
        <w:ind w:left="720"/>
      </w:pPr>
    </w:p>
    <w:p w:rsidR="003938EE" w:rsidRDefault="003938EE" w:rsidP="00434380"/>
    <w:p w:rsidR="003938EE" w:rsidRPr="001459C4" w:rsidRDefault="003938EE" w:rsidP="00434380"/>
    <w:p w:rsidR="00E8526F" w:rsidRPr="001459C4" w:rsidRDefault="00E8526F" w:rsidP="00434380"/>
    <w:p w:rsidR="009A7468" w:rsidRPr="001459C4" w:rsidRDefault="009A7468" w:rsidP="00434380"/>
    <w:p w:rsidR="009A7468" w:rsidRDefault="00DA242A" w:rsidP="00DA242A">
      <w:pPr>
        <w:pStyle w:val="Heading2"/>
      </w:pPr>
      <w:r>
        <w:t>Digital links</w:t>
      </w:r>
    </w:p>
    <w:p w:rsidR="00DA242A" w:rsidRDefault="00DA242A" w:rsidP="00DA242A">
      <w:pPr>
        <w:pStyle w:val="ListParagraph"/>
        <w:numPr>
          <w:ilvl w:val="0"/>
          <w:numId w:val="2"/>
        </w:numPr>
      </w:pPr>
      <w:proofErr w:type="spellStart"/>
      <w:r>
        <w:t>Machaut</w:t>
      </w:r>
      <w:proofErr w:type="spellEnd"/>
      <w:r>
        <w:t xml:space="preserve"> in F-</w:t>
      </w:r>
      <w:proofErr w:type="spellStart"/>
      <w:r>
        <w:t>Pn</w:t>
      </w:r>
      <w:proofErr w:type="spellEnd"/>
    </w:p>
    <w:p w:rsidR="00DA242A" w:rsidRPr="00DA242A" w:rsidRDefault="00DA242A" w:rsidP="00DA242A">
      <w:pPr>
        <w:pStyle w:val="ListParagraph"/>
        <w:numPr>
          <w:ilvl w:val="0"/>
          <w:numId w:val="2"/>
        </w:numPr>
        <w:rPr>
          <w:highlight w:val="lightGray"/>
        </w:rPr>
      </w:pPr>
      <w:r w:rsidRPr="00DA242A">
        <w:rPr>
          <w:highlight w:val="lightGray"/>
        </w:rPr>
        <w:t>&lt;</w:t>
      </w:r>
      <w:proofErr w:type="spellStart"/>
      <w:r w:rsidRPr="00DA242A">
        <w:rPr>
          <w:highlight w:val="lightGray"/>
        </w:rPr>
        <w:t>Machaut</w:t>
      </w:r>
      <w:proofErr w:type="spellEnd"/>
      <w:r w:rsidRPr="00DA242A">
        <w:rPr>
          <w:highlight w:val="lightGray"/>
        </w:rPr>
        <w:t xml:space="preserve">: </w:t>
      </w:r>
      <w:proofErr w:type="spellStart"/>
      <w:r w:rsidRPr="00DA242A">
        <w:rPr>
          <w:highlight w:val="lightGray"/>
        </w:rPr>
        <w:t>Poésies</w:t>
      </w:r>
      <w:proofErr w:type="spellEnd"/>
      <w:r w:rsidRPr="00DA242A">
        <w:rPr>
          <w:highlight w:val="lightGray"/>
        </w:rPr>
        <w:t xml:space="preserve"> </w:t>
      </w:r>
    </w:p>
    <w:p w:rsidR="00DA242A" w:rsidRPr="00DA242A" w:rsidRDefault="00DA242A" w:rsidP="00DA242A">
      <w:pPr>
        <w:pStyle w:val="ListParagraph"/>
        <w:numPr>
          <w:ilvl w:val="0"/>
          <w:numId w:val="2"/>
        </w:numPr>
        <w:rPr>
          <w:highlight w:val="lightGray"/>
        </w:rPr>
      </w:pPr>
      <w:r w:rsidRPr="00DA242A">
        <w:rPr>
          <w:highlight w:val="lightGray"/>
        </w:rPr>
        <w:t xml:space="preserve">&lt;ill: the </w:t>
      </w:r>
      <w:proofErr w:type="spellStart"/>
      <w:r w:rsidRPr="00DA242A">
        <w:rPr>
          <w:highlight w:val="lightGray"/>
        </w:rPr>
        <w:t>virelai</w:t>
      </w:r>
      <w:proofErr w:type="spellEnd"/>
      <w:r w:rsidRPr="00DA242A">
        <w:rPr>
          <w:highlight w:val="lightGray"/>
        </w:rPr>
        <w:t xml:space="preserve"> « </w:t>
      </w:r>
      <w:proofErr w:type="spellStart"/>
      <w:r w:rsidRPr="00DA242A">
        <w:rPr>
          <w:highlight w:val="lightGray"/>
        </w:rPr>
        <w:t>Tres</w:t>
      </w:r>
      <w:proofErr w:type="spellEnd"/>
      <w:r w:rsidRPr="00DA242A">
        <w:rPr>
          <w:highlight w:val="lightGray"/>
        </w:rPr>
        <w:t xml:space="preserve"> bonne et </w:t>
      </w:r>
      <w:proofErr w:type="spellStart"/>
      <w:r w:rsidRPr="00DA242A">
        <w:rPr>
          <w:highlight w:val="lightGray"/>
        </w:rPr>
        <w:t>bele</w:t>
      </w:r>
      <w:proofErr w:type="spellEnd"/>
      <w:r w:rsidRPr="00DA242A">
        <w:rPr>
          <w:highlight w:val="lightGray"/>
        </w:rPr>
        <w:t xml:space="preserve">, </w:t>
      </w:r>
      <w:proofErr w:type="spellStart"/>
      <w:r w:rsidRPr="00DA242A">
        <w:rPr>
          <w:highlight w:val="lightGray"/>
        </w:rPr>
        <w:t>mon</w:t>
      </w:r>
      <w:proofErr w:type="spellEnd"/>
      <w:r w:rsidRPr="00DA242A">
        <w:rPr>
          <w:highlight w:val="lightGray"/>
        </w:rPr>
        <w:t xml:space="preserve"> </w:t>
      </w:r>
      <w:proofErr w:type="spellStart"/>
      <w:r w:rsidRPr="00DA242A">
        <w:rPr>
          <w:highlight w:val="lightGray"/>
        </w:rPr>
        <w:t>oueil</w:t>
      </w:r>
      <w:proofErr w:type="spellEnd"/>
      <w:r w:rsidRPr="00DA242A">
        <w:rPr>
          <w:highlight w:val="lightGray"/>
        </w:rPr>
        <w:t xml:space="preserve">”, screen 999 of 1042 ; </w:t>
      </w:r>
      <w:proofErr w:type="spellStart"/>
      <w:r w:rsidRPr="00DA242A">
        <w:rPr>
          <w:highlight w:val="lightGray"/>
        </w:rPr>
        <w:t>CDLXXXXr</w:t>
      </w:r>
      <w:proofErr w:type="spellEnd"/>
      <w:r w:rsidRPr="00DA242A">
        <w:rPr>
          <w:highlight w:val="lightGray"/>
        </w:rPr>
        <w:t xml:space="preserve"> : </w:t>
      </w:r>
      <w:hyperlink r:id="rId27" w:history="1">
        <w:r w:rsidRPr="00DA242A">
          <w:rPr>
            <w:rStyle w:val="Hyperlink"/>
            <w:szCs w:val="24"/>
            <w:highlight w:val="lightGray"/>
          </w:rPr>
          <w:t>http://gallica.bnf.fr/ark:/12148/btv1b84490444/f1000.image.r=Machaut.langEN</w:t>
        </w:r>
      </w:hyperlink>
      <w:r w:rsidRPr="00DA242A">
        <w:rPr>
          <w:highlight w:val="lightGray"/>
        </w:rPr>
        <w:t xml:space="preserve"> &gt;</w:t>
      </w:r>
    </w:p>
    <w:p w:rsidR="00DA242A" w:rsidRPr="00DA242A" w:rsidRDefault="00DA242A" w:rsidP="00DA242A">
      <w:pPr>
        <w:pStyle w:val="ListParagraph"/>
        <w:numPr>
          <w:ilvl w:val="0"/>
          <w:numId w:val="2"/>
        </w:numPr>
        <w:rPr>
          <w:highlight w:val="lightGray"/>
        </w:rPr>
      </w:pPr>
      <w:r w:rsidRPr="00DA242A">
        <w:rPr>
          <w:highlight w:val="lightGray"/>
        </w:rPr>
        <w:t xml:space="preserve">&lt;ill: monkey (or bear?) with spoon or recorder in pot for the </w:t>
      </w:r>
      <w:proofErr w:type="spellStart"/>
      <w:r w:rsidRPr="00DA242A">
        <w:rPr>
          <w:highlight w:val="lightGray"/>
        </w:rPr>
        <w:t>virelai</w:t>
      </w:r>
      <w:proofErr w:type="spellEnd"/>
      <w:r w:rsidRPr="00DA242A">
        <w:rPr>
          <w:highlight w:val="lightGray"/>
        </w:rPr>
        <w:t xml:space="preserve"> “Dame a qui </w:t>
      </w:r>
      <w:proofErr w:type="spellStart"/>
      <w:r w:rsidRPr="00DA242A">
        <w:rPr>
          <w:highlight w:val="lightGray"/>
        </w:rPr>
        <w:t>mottri</w:t>
      </w:r>
      <w:proofErr w:type="spellEnd"/>
      <w:r w:rsidRPr="00DA242A">
        <w:rPr>
          <w:highlight w:val="lightGray"/>
        </w:rPr>
        <w:t xml:space="preserve"> de </w:t>
      </w:r>
      <w:proofErr w:type="spellStart"/>
      <w:r w:rsidRPr="00DA242A">
        <w:rPr>
          <w:highlight w:val="lightGray"/>
        </w:rPr>
        <w:t>cuer</w:t>
      </w:r>
      <w:proofErr w:type="spellEnd"/>
      <w:r w:rsidRPr="00DA242A">
        <w:rPr>
          <w:highlight w:val="lightGray"/>
        </w:rPr>
        <w:t xml:space="preserve"> sans </w:t>
      </w:r>
      <w:proofErr w:type="spellStart"/>
      <w:r w:rsidRPr="00DA242A">
        <w:rPr>
          <w:highlight w:val="lightGray"/>
        </w:rPr>
        <w:t>penser</w:t>
      </w:r>
      <w:proofErr w:type="spellEnd"/>
      <w:r w:rsidRPr="00DA242A">
        <w:rPr>
          <w:highlight w:val="lightGray"/>
        </w:rPr>
        <w:t xml:space="preserve">” on screen 992, </w:t>
      </w:r>
      <w:hyperlink r:id="rId28" w:history="1">
        <w:r w:rsidRPr="00DA242A">
          <w:rPr>
            <w:rStyle w:val="Hyperlink"/>
            <w:szCs w:val="24"/>
            <w:highlight w:val="lightGray"/>
          </w:rPr>
          <w:t>http://gallica.bnf.fr/ark:/12148/btv1b84490444/f992.image.r=Machaut.langEN</w:t>
        </w:r>
      </w:hyperlink>
      <w:r w:rsidRPr="00DA242A">
        <w:rPr>
          <w:highlight w:val="lightGray"/>
        </w:rPr>
        <w:t>&gt;</w:t>
      </w:r>
    </w:p>
    <w:p w:rsidR="00DA242A" w:rsidRPr="00DA242A" w:rsidRDefault="00DA242A" w:rsidP="00DA242A">
      <w:pPr>
        <w:pStyle w:val="ListParagraph"/>
        <w:numPr>
          <w:ilvl w:val="0"/>
          <w:numId w:val="2"/>
        </w:numPr>
        <w:rPr>
          <w:highlight w:val="lightGray"/>
          <w:lang w:val="fr-FR"/>
        </w:rPr>
      </w:pPr>
      <w:r w:rsidRPr="00DA242A">
        <w:rPr>
          <w:highlight w:val="lightGray"/>
          <w:lang w:val="fr-FR"/>
        </w:rPr>
        <w:t xml:space="preserve">&lt;ill. rondeau “Douce dame, tant </w:t>
      </w:r>
      <w:proofErr w:type="spellStart"/>
      <w:r w:rsidRPr="00DA242A">
        <w:rPr>
          <w:highlight w:val="lightGray"/>
          <w:lang w:val="fr-FR"/>
        </w:rPr>
        <w:t>com</w:t>
      </w:r>
      <w:proofErr w:type="spellEnd"/>
      <w:r w:rsidRPr="00DA242A">
        <w:rPr>
          <w:highlight w:val="lightGray"/>
          <w:lang w:val="fr-FR"/>
        </w:rPr>
        <w:t xml:space="preserve"> </w:t>
      </w:r>
      <w:proofErr w:type="spellStart"/>
      <w:r w:rsidRPr="00DA242A">
        <w:rPr>
          <w:highlight w:val="lightGray"/>
          <w:lang w:val="fr-FR"/>
        </w:rPr>
        <w:t>vivray</w:t>
      </w:r>
      <w:proofErr w:type="spellEnd"/>
      <w:r w:rsidRPr="00DA242A">
        <w:rPr>
          <w:highlight w:val="lightGray"/>
          <w:lang w:val="fr-FR"/>
        </w:rPr>
        <w:t xml:space="preserve">”, </w:t>
      </w:r>
      <w:proofErr w:type="spellStart"/>
      <w:r w:rsidRPr="00DA242A">
        <w:rPr>
          <w:highlight w:val="lightGray"/>
          <w:lang w:val="fr-FR"/>
        </w:rPr>
        <w:t>screen</w:t>
      </w:r>
      <w:proofErr w:type="spellEnd"/>
      <w:r w:rsidRPr="00DA242A">
        <w:rPr>
          <w:highlight w:val="lightGray"/>
          <w:lang w:val="fr-FR"/>
        </w:rPr>
        <w:t xml:space="preserve"> 981, </w:t>
      </w:r>
      <w:hyperlink r:id="rId29" w:history="1">
        <w:r w:rsidRPr="00DA242A">
          <w:rPr>
            <w:rStyle w:val="Hyperlink"/>
            <w:szCs w:val="24"/>
            <w:highlight w:val="lightGray"/>
            <w:lang w:val="fr-FR"/>
          </w:rPr>
          <w:t>http://gallica.bnf.fr/ark:/12148/btv1b84490444/f992.image.r=Machaut.langEN</w:t>
        </w:r>
      </w:hyperlink>
      <w:r w:rsidRPr="00DA242A">
        <w:rPr>
          <w:highlight w:val="lightGray"/>
          <w:lang w:val="fr-FR"/>
        </w:rPr>
        <w:t>&gt;</w:t>
      </w:r>
    </w:p>
    <w:p w:rsidR="00DA242A" w:rsidRPr="00DA242A" w:rsidRDefault="00DA242A" w:rsidP="00DA242A">
      <w:pPr>
        <w:pStyle w:val="ListParagraph"/>
        <w:numPr>
          <w:ilvl w:val="0"/>
          <w:numId w:val="2"/>
        </w:numPr>
        <w:rPr>
          <w:highlight w:val="lightGray"/>
          <w:lang w:val="fr-FR"/>
        </w:rPr>
      </w:pPr>
      <w:r w:rsidRPr="00DA242A">
        <w:rPr>
          <w:highlight w:val="lightGray"/>
          <w:lang w:val="fr-FR"/>
        </w:rPr>
        <w:t xml:space="preserve">Machaut : </w:t>
      </w:r>
      <w:proofErr w:type="spellStart"/>
      <w:r w:rsidRPr="00DA242A">
        <w:rPr>
          <w:highlight w:val="lightGray"/>
          <w:lang w:val="fr-FR"/>
        </w:rPr>
        <w:t>Oeuvres</w:t>
      </w:r>
      <w:proofErr w:type="spellEnd"/>
      <w:r w:rsidRPr="00DA242A">
        <w:rPr>
          <w:highlight w:val="lightGray"/>
          <w:lang w:val="fr-FR"/>
        </w:rPr>
        <w:t xml:space="preserve"> narratives et lyriques, </w:t>
      </w:r>
    </w:p>
    <w:p w:rsidR="00DA242A" w:rsidRDefault="00DA242A" w:rsidP="00DA242A">
      <w:pPr>
        <w:pStyle w:val="ListParagraph"/>
        <w:numPr>
          <w:ilvl w:val="0"/>
          <w:numId w:val="2"/>
        </w:numPr>
      </w:pPr>
      <w:r w:rsidRPr="00DA242A">
        <w:rPr>
          <w:highlight w:val="lightGray"/>
        </w:rPr>
        <w:t xml:space="preserve">&lt; More secular music “Quant </w:t>
      </w:r>
      <w:proofErr w:type="spellStart"/>
      <w:r w:rsidRPr="00DA242A">
        <w:rPr>
          <w:highlight w:val="lightGray"/>
        </w:rPr>
        <w:t>che</w:t>
      </w:r>
      <w:proofErr w:type="spellEnd"/>
      <w:r w:rsidRPr="00DA242A">
        <w:rPr>
          <w:highlight w:val="lightGray"/>
        </w:rPr>
        <w:t xml:space="preserve">  </w:t>
      </w:r>
      <w:hyperlink r:id="rId30" w:history="1">
        <w:r w:rsidRPr="00DA242A">
          <w:rPr>
            <w:rStyle w:val="Hyperlink"/>
            <w:szCs w:val="24"/>
            <w:highlight w:val="lightGray"/>
          </w:rPr>
          <w:t>http://gallica.bnf.fr/ark:/12148/btv1b6000795k/f422.image.r=Machaut%20messe.langEN</w:t>
        </w:r>
      </w:hyperlink>
      <w:r w:rsidRPr="00DA242A">
        <w:rPr>
          <w:highlight w:val="lightGray"/>
        </w:rPr>
        <w:t>&gt;</w:t>
      </w:r>
    </w:p>
    <w:p w:rsidR="00DA242A" w:rsidRDefault="00DA242A" w:rsidP="00DA242A">
      <w:pPr>
        <w:pStyle w:val="ListParagraph"/>
      </w:pPr>
    </w:p>
    <w:p w:rsidR="00DA242A" w:rsidRDefault="00DA242A" w:rsidP="00DA242A">
      <w:pPr>
        <w:pStyle w:val="ListParagraph"/>
      </w:pPr>
    </w:p>
    <w:p w:rsidR="00DA242A" w:rsidRPr="00DA242A" w:rsidRDefault="00DA242A" w:rsidP="00DA242A">
      <w:pPr>
        <w:pStyle w:val="ListParagraph"/>
      </w:pPr>
    </w:p>
    <w:sectPr w:rsidR="00DA242A" w:rsidRPr="00DA242A" w:rsidSect="00214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37B9" w:rsidRDefault="000437B9" w:rsidP="002F7A15">
      <w:pPr>
        <w:spacing w:after="0" w:line="240" w:lineRule="auto"/>
      </w:pPr>
      <w:r>
        <w:separator/>
      </w:r>
    </w:p>
  </w:endnote>
  <w:endnote w:type="continuationSeparator" w:id="0">
    <w:p w:rsidR="000437B9" w:rsidRDefault="000437B9" w:rsidP="002F7A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37B9" w:rsidRDefault="000437B9" w:rsidP="002F7A15">
      <w:pPr>
        <w:spacing w:after="0" w:line="240" w:lineRule="auto"/>
      </w:pPr>
      <w:r>
        <w:separator/>
      </w:r>
    </w:p>
  </w:footnote>
  <w:footnote w:type="continuationSeparator" w:id="0">
    <w:p w:rsidR="000437B9" w:rsidRDefault="000437B9" w:rsidP="002F7A15">
      <w:pPr>
        <w:spacing w:after="0" w:line="240" w:lineRule="auto"/>
      </w:pPr>
      <w:r>
        <w:continuationSeparator/>
      </w:r>
    </w:p>
  </w:footnote>
  <w:footnote w:id="1">
    <w:p w:rsidR="002F7A15" w:rsidRDefault="002F7A15">
      <w:pPr>
        <w:pStyle w:val="FootnoteText"/>
      </w:pPr>
      <w:r>
        <w:rPr>
          <w:rStyle w:val="FootnoteReference"/>
        </w:rPr>
        <w:footnoteRef/>
      </w:r>
      <w:r>
        <w:t xml:space="preserve"> Deutsche </w:t>
      </w:r>
      <w:proofErr w:type="spellStart"/>
      <w:r>
        <w:t>Forschungs</w:t>
      </w:r>
      <w:proofErr w:type="spellEnd"/>
      <w:r>
        <w:t xml:space="preserve"> </w:t>
      </w:r>
      <w:proofErr w:type="spellStart"/>
      <w:r>
        <w:t>Gemeinschaft</w:t>
      </w:r>
      <w:proofErr w:type="spellEnd"/>
      <w:r w:rsidR="00856383">
        <w:t xml:space="preserve">, a major funder of German research projects in musicology.  </w:t>
      </w:r>
    </w:p>
  </w:footnote>
  <w:footnote w:id="2">
    <w:p w:rsidR="002F7A15" w:rsidRDefault="002F7A15">
      <w:pPr>
        <w:pStyle w:val="FootnoteText"/>
      </w:pPr>
      <w:r>
        <w:rPr>
          <w:rStyle w:val="FootnoteReference"/>
        </w:rPr>
        <w:footnoteRef/>
      </w:r>
      <w:r>
        <w:t xml:space="preserve"> Bach Digital</w:t>
      </w:r>
      <w:r w:rsidR="0073159B">
        <w:t xml:space="preserve">, like most of the sites mentioned herein, </w:t>
      </w:r>
      <w:r>
        <w:t xml:space="preserve">offers a comprehensive site for research.  </w:t>
      </w:r>
      <w:r w:rsidR="0073159B">
        <w:t>The Bach-Archiv, Leipzig, provides the portal.  Access to autographs, prints, and associated libretti for works by J. S. Bach and the extended Bach family are provided together with extens</w:t>
      </w:r>
      <w:r w:rsidR="00E8246F">
        <w:t xml:space="preserve">ive bibliographical information.  </w:t>
      </w:r>
      <w:r w:rsidR="0073159B">
        <w:t xml:space="preserve"> </w:t>
      </w:r>
    </w:p>
  </w:footnote>
  <w:footnote w:id="3">
    <w:p w:rsidR="00856383" w:rsidRDefault="00856383">
      <w:pPr>
        <w:pStyle w:val="FootnoteText"/>
      </w:pPr>
      <w:r>
        <w:rPr>
          <w:rStyle w:val="FootnoteReference"/>
        </w:rPr>
        <w:footnoteRef/>
      </w:r>
      <w:r>
        <w:t xml:space="preserve"> Christopher </w:t>
      </w:r>
      <w:proofErr w:type="spellStart"/>
      <w:r>
        <w:t>Costanza</w:t>
      </w:r>
      <w:proofErr w:type="spellEnd"/>
      <w:r>
        <w:t xml:space="preserve"> (St. Lawrence String Quartet) was about to record the unaccompanied suites for cello, BWV 1007-1012, when we visited them online.  </w:t>
      </w:r>
    </w:p>
  </w:footnote>
  <w:footnote w:id="4">
    <w:p w:rsidR="00117E15" w:rsidRDefault="00117E15">
      <w:pPr>
        <w:pStyle w:val="FootnoteText"/>
      </w:pPr>
      <w:r>
        <w:rPr>
          <w:rStyle w:val="FootnoteReference"/>
        </w:rPr>
        <w:footnoteRef/>
      </w:r>
      <w:r>
        <w:t xml:space="preserve"> The DIAMM project is not currently funded but its online presence is maintained.  Julia Craig </w:t>
      </w:r>
      <w:proofErr w:type="spellStart"/>
      <w:r>
        <w:t>McFeely</w:t>
      </w:r>
      <w:proofErr w:type="spellEnd"/>
      <w:r>
        <w:t xml:space="preserve"> …</w:t>
      </w:r>
    </w:p>
  </w:footnote>
  <w:footnote w:id="5">
    <w:p w:rsidR="005A6869" w:rsidRDefault="005A6869">
      <w:pPr>
        <w:pStyle w:val="FootnoteText"/>
      </w:pPr>
      <w:r>
        <w:rPr>
          <w:rStyle w:val="FootnoteReference"/>
        </w:rPr>
        <w:footnoteRef/>
      </w:r>
      <w:r>
        <w:t xml:space="preserve"> Andrew </w:t>
      </w:r>
      <w:proofErr w:type="spellStart"/>
      <w:r>
        <w:t>Wathey</w:t>
      </w:r>
      <w:proofErr w:type="spellEnd"/>
      <w:r>
        <w:t>, Margaret Bent, and Julia Craig-</w:t>
      </w:r>
      <w:proofErr w:type="spellStart"/>
      <w:r>
        <w:t>McFeely</w:t>
      </w:r>
      <w:proofErr w:type="spellEnd"/>
      <w:r>
        <w:t xml:space="preserve">, “The Art of Virtual Restoration: Creating the Digital Image Archive of Medieval Music,” </w:t>
      </w:r>
      <w:r w:rsidRPr="005A6869">
        <w:rPr>
          <w:i/>
        </w:rPr>
        <w:t>The Virtual Score</w:t>
      </w:r>
      <w:r>
        <w:t xml:space="preserve"> (</w:t>
      </w:r>
      <w:r w:rsidRPr="005A6869">
        <w:rPr>
          <w:i/>
        </w:rPr>
        <w:t>Computing in Musicology</w:t>
      </w:r>
      <w:r>
        <w:t xml:space="preserve"> 12), 2001, pp. 227-240.</w:t>
      </w:r>
    </w:p>
  </w:footnote>
  <w:footnote w:id="6">
    <w:p w:rsidR="00180110" w:rsidRDefault="00180110">
      <w:pPr>
        <w:pStyle w:val="FootnoteText"/>
      </w:pPr>
      <w:r>
        <w:rPr>
          <w:rStyle w:val="FootnoteReference"/>
        </w:rPr>
        <w:footnoteRef/>
      </w:r>
      <w:r>
        <w:t xml:space="preserve"> See “Computer Collation of Divergent Early Prints in </w:t>
      </w:r>
      <w:proofErr w:type="gramStart"/>
      <w:r>
        <w:t>The</w:t>
      </w:r>
      <w:proofErr w:type="gramEnd"/>
      <w:r>
        <w:t xml:space="preserve"> Byrd Edition,” </w:t>
      </w:r>
      <w:r w:rsidRPr="00180110">
        <w:rPr>
          <w:i/>
        </w:rPr>
        <w:t>The Virtual Score</w:t>
      </w:r>
      <w:r>
        <w:t xml:space="preserve"> (as above), pp. 251-260.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230DF"/>
    <w:multiLevelType w:val="hybridMultilevel"/>
    <w:tmpl w:val="602E47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07714B1"/>
    <w:multiLevelType w:val="hybridMultilevel"/>
    <w:tmpl w:val="D3E8EF5E"/>
    <w:lvl w:ilvl="0" w:tplc="04090015">
      <w:start w:val="1"/>
      <w:numFmt w:val="upperLetter"/>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06C2BE4"/>
    <w:multiLevelType w:val="hybridMultilevel"/>
    <w:tmpl w:val="D62E56E0"/>
    <w:lvl w:ilvl="0" w:tplc="2B8ACC9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4AE04013"/>
    <w:multiLevelType w:val="hybridMultilevel"/>
    <w:tmpl w:val="CA06F6AA"/>
    <w:lvl w:ilvl="0" w:tplc="C48CBADA">
      <w:start w:val="1"/>
      <w:numFmt w:val="upp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51D236C9"/>
    <w:multiLevelType w:val="hybridMultilevel"/>
    <w:tmpl w:val="3C223578"/>
    <w:lvl w:ilvl="0" w:tplc="04090015">
      <w:start w:val="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792A65"/>
    <w:multiLevelType w:val="hybridMultilevel"/>
    <w:tmpl w:val="120E2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510017A"/>
    <w:multiLevelType w:val="hybridMultilevel"/>
    <w:tmpl w:val="CF5A54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A831080"/>
    <w:multiLevelType w:val="hybridMultilevel"/>
    <w:tmpl w:val="28DCF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AC86A74"/>
    <w:multiLevelType w:val="hybridMultilevel"/>
    <w:tmpl w:val="7E169DC2"/>
    <w:lvl w:ilvl="0" w:tplc="CCEABA6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61C75373"/>
    <w:multiLevelType w:val="hybridMultilevel"/>
    <w:tmpl w:val="D9900970"/>
    <w:lvl w:ilvl="0" w:tplc="6CD220AE">
      <w:start w:val="1"/>
      <w:numFmt w:val="upperLetter"/>
      <w:lvlText w:val="%1."/>
      <w:lvlJc w:val="left"/>
      <w:pPr>
        <w:ind w:left="1440" w:hanging="360"/>
      </w:pPr>
      <w:rPr>
        <w:rFonts w:asciiTheme="majorHAnsi" w:eastAsiaTheme="majorEastAsia" w:hAnsiTheme="majorHAnsi" w:cstheme="maj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627279A2"/>
    <w:multiLevelType w:val="hybridMultilevel"/>
    <w:tmpl w:val="721AD6E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83037FC"/>
    <w:multiLevelType w:val="hybridMultilevel"/>
    <w:tmpl w:val="2AD0F9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E2417A3"/>
    <w:multiLevelType w:val="hybridMultilevel"/>
    <w:tmpl w:val="3DCAD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14F3B12"/>
    <w:multiLevelType w:val="hybridMultilevel"/>
    <w:tmpl w:val="534AC734"/>
    <w:lvl w:ilvl="0" w:tplc="81285A4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0"/>
  </w:num>
  <w:num w:numId="2">
    <w:abstractNumId w:val="12"/>
  </w:num>
  <w:num w:numId="3">
    <w:abstractNumId w:val="7"/>
  </w:num>
  <w:num w:numId="4">
    <w:abstractNumId w:val="13"/>
  </w:num>
  <w:num w:numId="5">
    <w:abstractNumId w:val="1"/>
  </w:num>
  <w:num w:numId="6">
    <w:abstractNumId w:val="4"/>
  </w:num>
  <w:num w:numId="7">
    <w:abstractNumId w:val="9"/>
  </w:num>
  <w:num w:numId="8">
    <w:abstractNumId w:val="5"/>
  </w:num>
  <w:num w:numId="9">
    <w:abstractNumId w:val="8"/>
  </w:num>
  <w:num w:numId="10">
    <w:abstractNumId w:val="0"/>
  </w:num>
  <w:num w:numId="11">
    <w:abstractNumId w:val="11"/>
  </w:num>
  <w:num w:numId="12">
    <w:abstractNumId w:val="2"/>
  </w:num>
  <w:num w:numId="13">
    <w:abstractNumId w:val="6"/>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7468"/>
    <w:rsid w:val="000437B9"/>
    <w:rsid w:val="000648EA"/>
    <w:rsid w:val="00066256"/>
    <w:rsid w:val="000A7121"/>
    <w:rsid w:val="000C7098"/>
    <w:rsid w:val="000F0FDC"/>
    <w:rsid w:val="00117E15"/>
    <w:rsid w:val="001459C4"/>
    <w:rsid w:val="00180110"/>
    <w:rsid w:val="001866A8"/>
    <w:rsid w:val="001A2420"/>
    <w:rsid w:val="001A633E"/>
    <w:rsid w:val="0020781C"/>
    <w:rsid w:val="002140C7"/>
    <w:rsid w:val="00214D37"/>
    <w:rsid w:val="00265BCA"/>
    <w:rsid w:val="00294FF4"/>
    <w:rsid w:val="002A44CC"/>
    <w:rsid w:val="002B19E8"/>
    <w:rsid w:val="002B4E56"/>
    <w:rsid w:val="002F7A15"/>
    <w:rsid w:val="0030296C"/>
    <w:rsid w:val="00306B6C"/>
    <w:rsid w:val="00324D2A"/>
    <w:rsid w:val="003938EE"/>
    <w:rsid w:val="00396EA1"/>
    <w:rsid w:val="003B52A9"/>
    <w:rsid w:val="003D1C30"/>
    <w:rsid w:val="003F0F88"/>
    <w:rsid w:val="0042550F"/>
    <w:rsid w:val="00434380"/>
    <w:rsid w:val="0046631D"/>
    <w:rsid w:val="00477B64"/>
    <w:rsid w:val="004E1A7C"/>
    <w:rsid w:val="004E7635"/>
    <w:rsid w:val="004F4C18"/>
    <w:rsid w:val="004F72DB"/>
    <w:rsid w:val="00522E46"/>
    <w:rsid w:val="00561A98"/>
    <w:rsid w:val="005A6869"/>
    <w:rsid w:val="005E4EB3"/>
    <w:rsid w:val="00606902"/>
    <w:rsid w:val="00615921"/>
    <w:rsid w:val="00653A37"/>
    <w:rsid w:val="00662D61"/>
    <w:rsid w:val="0067393C"/>
    <w:rsid w:val="006834D9"/>
    <w:rsid w:val="006D06B7"/>
    <w:rsid w:val="006E47DA"/>
    <w:rsid w:val="006E79A1"/>
    <w:rsid w:val="006F4112"/>
    <w:rsid w:val="00715673"/>
    <w:rsid w:val="0073159B"/>
    <w:rsid w:val="007522CD"/>
    <w:rsid w:val="00767B32"/>
    <w:rsid w:val="00770803"/>
    <w:rsid w:val="0077578C"/>
    <w:rsid w:val="00782388"/>
    <w:rsid w:val="0079567B"/>
    <w:rsid w:val="007C3FA3"/>
    <w:rsid w:val="00800009"/>
    <w:rsid w:val="00856383"/>
    <w:rsid w:val="00866543"/>
    <w:rsid w:val="00894507"/>
    <w:rsid w:val="008C3C50"/>
    <w:rsid w:val="008E5B08"/>
    <w:rsid w:val="009628FA"/>
    <w:rsid w:val="009A7468"/>
    <w:rsid w:val="009B6082"/>
    <w:rsid w:val="00A206D1"/>
    <w:rsid w:val="00A26683"/>
    <w:rsid w:val="00A72966"/>
    <w:rsid w:val="00A867CE"/>
    <w:rsid w:val="00AA47A2"/>
    <w:rsid w:val="00AC421D"/>
    <w:rsid w:val="00AE4C0E"/>
    <w:rsid w:val="00B031B2"/>
    <w:rsid w:val="00B1329C"/>
    <w:rsid w:val="00B20580"/>
    <w:rsid w:val="00B81F09"/>
    <w:rsid w:val="00BB1482"/>
    <w:rsid w:val="00BF6FFF"/>
    <w:rsid w:val="00C14734"/>
    <w:rsid w:val="00C32DDF"/>
    <w:rsid w:val="00C64C9E"/>
    <w:rsid w:val="00C87698"/>
    <w:rsid w:val="00CA0A37"/>
    <w:rsid w:val="00CC3EFE"/>
    <w:rsid w:val="00D378AE"/>
    <w:rsid w:val="00D603DA"/>
    <w:rsid w:val="00D61F02"/>
    <w:rsid w:val="00DA242A"/>
    <w:rsid w:val="00DB662A"/>
    <w:rsid w:val="00DF6821"/>
    <w:rsid w:val="00E108FD"/>
    <w:rsid w:val="00E25C7B"/>
    <w:rsid w:val="00E41786"/>
    <w:rsid w:val="00E463BA"/>
    <w:rsid w:val="00E8246F"/>
    <w:rsid w:val="00E8526F"/>
    <w:rsid w:val="00F0753C"/>
    <w:rsid w:val="00F24E8E"/>
    <w:rsid w:val="00F46426"/>
    <w:rsid w:val="00F61348"/>
    <w:rsid w:val="00FA3187"/>
    <w:rsid w:val="00FC5E3C"/>
    <w:rsid w:val="00FF3A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1482"/>
    <w:pPr>
      <w:spacing w:after="120" w:line="288" w:lineRule="auto"/>
    </w:pPr>
  </w:style>
  <w:style w:type="paragraph" w:styleId="Heading1">
    <w:name w:val="heading 1"/>
    <w:basedOn w:val="Normal"/>
    <w:next w:val="Normal"/>
    <w:link w:val="Heading1Char"/>
    <w:uiPriority w:val="9"/>
    <w:qFormat/>
    <w:rsid w:val="00BB1482"/>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BB1482"/>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BB1482"/>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BB1482"/>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BB1482"/>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BB1482"/>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BB1482"/>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BB1482"/>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BB1482"/>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1482"/>
    <w:rPr>
      <w:smallCaps/>
      <w:spacing w:val="5"/>
      <w:sz w:val="36"/>
      <w:szCs w:val="36"/>
    </w:rPr>
  </w:style>
  <w:style w:type="character" w:customStyle="1" w:styleId="Heading2Char">
    <w:name w:val="Heading 2 Char"/>
    <w:basedOn w:val="DefaultParagraphFont"/>
    <w:link w:val="Heading2"/>
    <w:uiPriority w:val="9"/>
    <w:rsid w:val="00BB1482"/>
    <w:rPr>
      <w:smallCaps/>
      <w:sz w:val="28"/>
      <w:szCs w:val="28"/>
    </w:rPr>
  </w:style>
  <w:style w:type="character" w:customStyle="1" w:styleId="Heading3Char">
    <w:name w:val="Heading 3 Char"/>
    <w:basedOn w:val="DefaultParagraphFont"/>
    <w:link w:val="Heading3"/>
    <w:uiPriority w:val="9"/>
    <w:rsid w:val="00BB1482"/>
    <w:rPr>
      <w:i/>
      <w:iCs/>
      <w:smallCaps/>
      <w:spacing w:val="5"/>
      <w:sz w:val="26"/>
      <w:szCs w:val="26"/>
    </w:rPr>
  </w:style>
  <w:style w:type="character" w:customStyle="1" w:styleId="Heading4Char">
    <w:name w:val="Heading 4 Char"/>
    <w:basedOn w:val="DefaultParagraphFont"/>
    <w:link w:val="Heading4"/>
    <w:uiPriority w:val="9"/>
    <w:semiHidden/>
    <w:rsid w:val="00BB1482"/>
    <w:rPr>
      <w:b/>
      <w:bCs/>
      <w:spacing w:val="5"/>
      <w:sz w:val="24"/>
      <w:szCs w:val="24"/>
    </w:rPr>
  </w:style>
  <w:style w:type="character" w:customStyle="1" w:styleId="Heading5Char">
    <w:name w:val="Heading 5 Char"/>
    <w:basedOn w:val="DefaultParagraphFont"/>
    <w:link w:val="Heading5"/>
    <w:uiPriority w:val="9"/>
    <w:semiHidden/>
    <w:rsid w:val="00BB1482"/>
    <w:rPr>
      <w:i/>
      <w:iCs/>
      <w:sz w:val="24"/>
      <w:szCs w:val="24"/>
    </w:rPr>
  </w:style>
  <w:style w:type="character" w:customStyle="1" w:styleId="Heading6Char">
    <w:name w:val="Heading 6 Char"/>
    <w:basedOn w:val="DefaultParagraphFont"/>
    <w:link w:val="Heading6"/>
    <w:uiPriority w:val="9"/>
    <w:semiHidden/>
    <w:rsid w:val="00BB1482"/>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BB1482"/>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BB1482"/>
    <w:rPr>
      <w:b/>
      <w:bCs/>
      <w:color w:val="7F7F7F" w:themeColor="text1" w:themeTint="80"/>
      <w:sz w:val="20"/>
      <w:szCs w:val="20"/>
    </w:rPr>
  </w:style>
  <w:style w:type="character" w:customStyle="1" w:styleId="Heading9Char">
    <w:name w:val="Heading 9 Char"/>
    <w:basedOn w:val="DefaultParagraphFont"/>
    <w:link w:val="Heading9"/>
    <w:uiPriority w:val="9"/>
    <w:semiHidden/>
    <w:rsid w:val="00BB1482"/>
    <w:rPr>
      <w:b/>
      <w:bCs/>
      <w:i/>
      <w:iCs/>
      <w:color w:val="7F7F7F" w:themeColor="text1" w:themeTint="80"/>
      <w:sz w:val="18"/>
      <w:szCs w:val="18"/>
    </w:rPr>
  </w:style>
  <w:style w:type="paragraph" w:styleId="Caption">
    <w:name w:val="caption"/>
    <w:basedOn w:val="Normal"/>
    <w:next w:val="Normal"/>
    <w:uiPriority w:val="35"/>
    <w:semiHidden/>
    <w:unhideWhenUsed/>
    <w:rsid w:val="00BB1482"/>
    <w:rPr>
      <w:caps/>
      <w:spacing w:val="10"/>
      <w:sz w:val="18"/>
      <w:szCs w:val="18"/>
    </w:rPr>
  </w:style>
  <w:style w:type="paragraph" w:styleId="Title">
    <w:name w:val="Title"/>
    <w:basedOn w:val="Normal"/>
    <w:next w:val="Normal"/>
    <w:link w:val="TitleChar"/>
    <w:uiPriority w:val="10"/>
    <w:qFormat/>
    <w:rsid w:val="00BB1482"/>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BB1482"/>
    <w:rPr>
      <w:smallCaps/>
      <w:sz w:val="52"/>
      <w:szCs w:val="52"/>
    </w:rPr>
  </w:style>
  <w:style w:type="paragraph" w:styleId="Subtitle">
    <w:name w:val="Subtitle"/>
    <w:basedOn w:val="Normal"/>
    <w:next w:val="Normal"/>
    <w:link w:val="SubtitleChar"/>
    <w:uiPriority w:val="11"/>
    <w:qFormat/>
    <w:rsid w:val="00BB1482"/>
    <w:rPr>
      <w:i/>
      <w:iCs/>
      <w:smallCaps/>
      <w:spacing w:val="10"/>
      <w:sz w:val="28"/>
      <w:szCs w:val="28"/>
    </w:rPr>
  </w:style>
  <w:style w:type="character" w:customStyle="1" w:styleId="SubtitleChar">
    <w:name w:val="Subtitle Char"/>
    <w:basedOn w:val="DefaultParagraphFont"/>
    <w:link w:val="Subtitle"/>
    <w:uiPriority w:val="11"/>
    <w:rsid w:val="00BB1482"/>
    <w:rPr>
      <w:i/>
      <w:iCs/>
      <w:smallCaps/>
      <w:spacing w:val="10"/>
      <w:sz w:val="28"/>
      <w:szCs w:val="28"/>
    </w:rPr>
  </w:style>
  <w:style w:type="character" w:styleId="Strong">
    <w:name w:val="Strong"/>
    <w:uiPriority w:val="22"/>
    <w:qFormat/>
    <w:rsid w:val="00BB1482"/>
    <w:rPr>
      <w:b/>
      <w:bCs/>
    </w:rPr>
  </w:style>
  <w:style w:type="character" w:styleId="Emphasis">
    <w:name w:val="Emphasis"/>
    <w:uiPriority w:val="20"/>
    <w:qFormat/>
    <w:rsid w:val="00BB1482"/>
    <w:rPr>
      <w:b/>
      <w:bCs/>
      <w:i/>
      <w:iCs/>
      <w:spacing w:val="10"/>
    </w:rPr>
  </w:style>
  <w:style w:type="paragraph" w:styleId="NoSpacing">
    <w:name w:val="No Spacing"/>
    <w:basedOn w:val="Normal"/>
    <w:link w:val="NoSpacingChar"/>
    <w:uiPriority w:val="1"/>
    <w:qFormat/>
    <w:rsid w:val="00BB1482"/>
    <w:pPr>
      <w:spacing w:after="0" w:line="240" w:lineRule="auto"/>
    </w:pPr>
  </w:style>
  <w:style w:type="character" w:customStyle="1" w:styleId="NoSpacingChar">
    <w:name w:val="No Spacing Char"/>
    <w:basedOn w:val="DefaultParagraphFont"/>
    <w:link w:val="NoSpacing"/>
    <w:uiPriority w:val="1"/>
    <w:rsid w:val="00BB1482"/>
  </w:style>
  <w:style w:type="paragraph" w:styleId="ListParagraph">
    <w:name w:val="List Paragraph"/>
    <w:basedOn w:val="Normal"/>
    <w:uiPriority w:val="34"/>
    <w:qFormat/>
    <w:rsid w:val="00BB1482"/>
    <w:pPr>
      <w:ind w:left="720"/>
      <w:contextualSpacing/>
    </w:pPr>
  </w:style>
  <w:style w:type="paragraph" w:styleId="Quote">
    <w:name w:val="Quote"/>
    <w:basedOn w:val="Normal"/>
    <w:next w:val="Normal"/>
    <w:link w:val="QuoteChar"/>
    <w:uiPriority w:val="29"/>
    <w:qFormat/>
    <w:rsid w:val="00BB1482"/>
    <w:rPr>
      <w:i/>
      <w:iCs/>
    </w:rPr>
  </w:style>
  <w:style w:type="character" w:customStyle="1" w:styleId="QuoteChar">
    <w:name w:val="Quote Char"/>
    <w:basedOn w:val="DefaultParagraphFont"/>
    <w:link w:val="Quote"/>
    <w:uiPriority w:val="29"/>
    <w:rsid w:val="00BB1482"/>
    <w:rPr>
      <w:i/>
      <w:iCs/>
    </w:rPr>
  </w:style>
  <w:style w:type="paragraph" w:styleId="IntenseQuote">
    <w:name w:val="Intense Quote"/>
    <w:basedOn w:val="Normal"/>
    <w:next w:val="Normal"/>
    <w:link w:val="IntenseQuoteChar"/>
    <w:uiPriority w:val="30"/>
    <w:qFormat/>
    <w:rsid w:val="00BB1482"/>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BB1482"/>
    <w:rPr>
      <w:i/>
      <w:iCs/>
    </w:rPr>
  </w:style>
  <w:style w:type="character" w:styleId="SubtleEmphasis">
    <w:name w:val="Subtle Emphasis"/>
    <w:uiPriority w:val="19"/>
    <w:qFormat/>
    <w:rsid w:val="00BB1482"/>
    <w:rPr>
      <w:i/>
      <w:iCs/>
    </w:rPr>
  </w:style>
  <w:style w:type="character" w:styleId="IntenseEmphasis">
    <w:name w:val="Intense Emphasis"/>
    <w:uiPriority w:val="21"/>
    <w:qFormat/>
    <w:rsid w:val="00BB1482"/>
    <w:rPr>
      <w:b/>
      <w:bCs/>
      <w:i/>
      <w:iCs/>
    </w:rPr>
  </w:style>
  <w:style w:type="character" w:styleId="SubtleReference">
    <w:name w:val="Subtle Reference"/>
    <w:basedOn w:val="DefaultParagraphFont"/>
    <w:uiPriority w:val="31"/>
    <w:qFormat/>
    <w:rsid w:val="00BB1482"/>
    <w:rPr>
      <w:smallCaps/>
    </w:rPr>
  </w:style>
  <w:style w:type="character" w:styleId="IntenseReference">
    <w:name w:val="Intense Reference"/>
    <w:uiPriority w:val="32"/>
    <w:qFormat/>
    <w:rsid w:val="00BB1482"/>
    <w:rPr>
      <w:b/>
      <w:bCs/>
      <w:smallCaps/>
    </w:rPr>
  </w:style>
  <w:style w:type="character" w:styleId="BookTitle">
    <w:name w:val="Book Title"/>
    <w:basedOn w:val="DefaultParagraphFont"/>
    <w:uiPriority w:val="33"/>
    <w:qFormat/>
    <w:rsid w:val="00BB1482"/>
    <w:rPr>
      <w:i/>
      <w:iCs/>
      <w:smallCaps/>
      <w:spacing w:val="5"/>
    </w:rPr>
  </w:style>
  <w:style w:type="paragraph" w:styleId="TOCHeading">
    <w:name w:val="TOC Heading"/>
    <w:basedOn w:val="Heading1"/>
    <w:next w:val="Normal"/>
    <w:uiPriority w:val="39"/>
    <w:semiHidden/>
    <w:unhideWhenUsed/>
    <w:qFormat/>
    <w:rsid w:val="00BB1482"/>
    <w:pPr>
      <w:outlineLvl w:val="9"/>
    </w:pPr>
    <w:rPr>
      <w:lang w:bidi="en-US"/>
    </w:rPr>
  </w:style>
  <w:style w:type="character" w:styleId="Hyperlink">
    <w:name w:val="Hyperlink"/>
    <w:basedOn w:val="DefaultParagraphFont"/>
    <w:uiPriority w:val="99"/>
    <w:unhideWhenUsed/>
    <w:rsid w:val="00324D2A"/>
    <w:rPr>
      <w:color w:val="0000FF" w:themeColor="hyperlink"/>
      <w:u w:val="single"/>
    </w:rPr>
  </w:style>
  <w:style w:type="paragraph" w:styleId="BalloonText">
    <w:name w:val="Balloon Text"/>
    <w:basedOn w:val="Normal"/>
    <w:link w:val="BalloonTextChar"/>
    <w:uiPriority w:val="99"/>
    <w:semiHidden/>
    <w:unhideWhenUsed/>
    <w:rsid w:val="004343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4380"/>
    <w:rPr>
      <w:rFonts w:ascii="Tahoma" w:hAnsi="Tahoma" w:cs="Tahoma"/>
      <w:sz w:val="16"/>
      <w:szCs w:val="16"/>
    </w:rPr>
  </w:style>
  <w:style w:type="paragraph" w:styleId="NormalWeb">
    <w:name w:val="Normal (Web)"/>
    <w:basedOn w:val="Normal"/>
    <w:uiPriority w:val="99"/>
    <w:semiHidden/>
    <w:unhideWhenUsed/>
    <w:rsid w:val="00FC5E3C"/>
    <w:pPr>
      <w:spacing w:before="100" w:beforeAutospacing="1" w:after="100" w:afterAutospacing="1" w:line="240" w:lineRule="auto"/>
    </w:pPr>
    <w:rPr>
      <w:rFonts w:ascii="Times New Roman" w:eastAsia="Times New Roman" w:hAnsi="Times New Roman" w:cs="Times New Roman"/>
      <w:szCs w:val="24"/>
    </w:rPr>
  </w:style>
  <w:style w:type="paragraph" w:styleId="FootnoteText">
    <w:name w:val="footnote text"/>
    <w:basedOn w:val="Normal"/>
    <w:link w:val="FootnoteTextChar"/>
    <w:uiPriority w:val="99"/>
    <w:semiHidden/>
    <w:unhideWhenUsed/>
    <w:rsid w:val="002F7A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F7A15"/>
    <w:rPr>
      <w:sz w:val="20"/>
      <w:szCs w:val="20"/>
    </w:rPr>
  </w:style>
  <w:style w:type="character" w:styleId="FootnoteReference">
    <w:name w:val="footnote reference"/>
    <w:basedOn w:val="DefaultParagraphFont"/>
    <w:uiPriority w:val="99"/>
    <w:semiHidden/>
    <w:unhideWhenUsed/>
    <w:rsid w:val="002F7A15"/>
    <w:rPr>
      <w:vertAlign w:val="superscript"/>
    </w:rPr>
  </w:style>
  <w:style w:type="table" w:styleId="TableGrid">
    <w:name w:val="Table Grid"/>
    <w:basedOn w:val="TableNormal"/>
    <w:uiPriority w:val="59"/>
    <w:rsid w:val="004E76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1482"/>
    <w:pPr>
      <w:spacing w:after="120" w:line="288" w:lineRule="auto"/>
    </w:pPr>
  </w:style>
  <w:style w:type="paragraph" w:styleId="Heading1">
    <w:name w:val="heading 1"/>
    <w:basedOn w:val="Normal"/>
    <w:next w:val="Normal"/>
    <w:link w:val="Heading1Char"/>
    <w:uiPriority w:val="9"/>
    <w:qFormat/>
    <w:rsid w:val="00BB1482"/>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BB1482"/>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BB1482"/>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BB1482"/>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BB1482"/>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BB1482"/>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BB1482"/>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BB1482"/>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BB1482"/>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1482"/>
    <w:rPr>
      <w:smallCaps/>
      <w:spacing w:val="5"/>
      <w:sz w:val="36"/>
      <w:szCs w:val="36"/>
    </w:rPr>
  </w:style>
  <w:style w:type="character" w:customStyle="1" w:styleId="Heading2Char">
    <w:name w:val="Heading 2 Char"/>
    <w:basedOn w:val="DefaultParagraphFont"/>
    <w:link w:val="Heading2"/>
    <w:uiPriority w:val="9"/>
    <w:rsid w:val="00BB1482"/>
    <w:rPr>
      <w:smallCaps/>
      <w:sz w:val="28"/>
      <w:szCs w:val="28"/>
    </w:rPr>
  </w:style>
  <w:style w:type="character" w:customStyle="1" w:styleId="Heading3Char">
    <w:name w:val="Heading 3 Char"/>
    <w:basedOn w:val="DefaultParagraphFont"/>
    <w:link w:val="Heading3"/>
    <w:uiPriority w:val="9"/>
    <w:rsid w:val="00BB1482"/>
    <w:rPr>
      <w:i/>
      <w:iCs/>
      <w:smallCaps/>
      <w:spacing w:val="5"/>
      <w:sz w:val="26"/>
      <w:szCs w:val="26"/>
    </w:rPr>
  </w:style>
  <w:style w:type="character" w:customStyle="1" w:styleId="Heading4Char">
    <w:name w:val="Heading 4 Char"/>
    <w:basedOn w:val="DefaultParagraphFont"/>
    <w:link w:val="Heading4"/>
    <w:uiPriority w:val="9"/>
    <w:semiHidden/>
    <w:rsid w:val="00BB1482"/>
    <w:rPr>
      <w:b/>
      <w:bCs/>
      <w:spacing w:val="5"/>
      <w:sz w:val="24"/>
      <w:szCs w:val="24"/>
    </w:rPr>
  </w:style>
  <w:style w:type="character" w:customStyle="1" w:styleId="Heading5Char">
    <w:name w:val="Heading 5 Char"/>
    <w:basedOn w:val="DefaultParagraphFont"/>
    <w:link w:val="Heading5"/>
    <w:uiPriority w:val="9"/>
    <w:semiHidden/>
    <w:rsid w:val="00BB1482"/>
    <w:rPr>
      <w:i/>
      <w:iCs/>
      <w:sz w:val="24"/>
      <w:szCs w:val="24"/>
    </w:rPr>
  </w:style>
  <w:style w:type="character" w:customStyle="1" w:styleId="Heading6Char">
    <w:name w:val="Heading 6 Char"/>
    <w:basedOn w:val="DefaultParagraphFont"/>
    <w:link w:val="Heading6"/>
    <w:uiPriority w:val="9"/>
    <w:semiHidden/>
    <w:rsid w:val="00BB1482"/>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BB1482"/>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BB1482"/>
    <w:rPr>
      <w:b/>
      <w:bCs/>
      <w:color w:val="7F7F7F" w:themeColor="text1" w:themeTint="80"/>
      <w:sz w:val="20"/>
      <w:szCs w:val="20"/>
    </w:rPr>
  </w:style>
  <w:style w:type="character" w:customStyle="1" w:styleId="Heading9Char">
    <w:name w:val="Heading 9 Char"/>
    <w:basedOn w:val="DefaultParagraphFont"/>
    <w:link w:val="Heading9"/>
    <w:uiPriority w:val="9"/>
    <w:semiHidden/>
    <w:rsid w:val="00BB1482"/>
    <w:rPr>
      <w:b/>
      <w:bCs/>
      <w:i/>
      <w:iCs/>
      <w:color w:val="7F7F7F" w:themeColor="text1" w:themeTint="80"/>
      <w:sz w:val="18"/>
      <w:szCs w:val="18"/>
    </w:rPr>
  </w:style>
  <w:style w:type="paragraph" w:styleId="Caption">
    <w:name w:val="caption"/>
    <w:basedOn w:val="Normal"/>
    <w:next w:val="Normal"/>
    <w:uiPriority w:val="35"/>
    <w:semiHidden/>
    <w:unhideWhenUsed/>
    <w:rsid w:val="00BB1482"/>
    <w:rPr>
      <w:caps/>
      <w:spacing w:val="10"/>
      <w:sz w:val="18"/>
      <w:szCs w:val="18"/>
    </w:rPr>
  </w:style>
  <w:style w:type="paragraph" w:styleId="Title">
    <w:name w:val="Title"/>
    <w:basedOn w:val="Normal"/>
    <w:next w:val="Normal"/>
    <w:link w:val="TitleChar"/>
    <w:uiPriority w:val="10"/>
    <w:qFormat/>
    <w:rsid w:val="00BB1482"/>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BB1482"/>
    <w:rPr>
      <w:smallCaps/>
      <w:sz w:val="52"/>
      <w:szCs w:val="52"/>
    </w:rPr>
  </w:style>
  <w:style w:type="paragraph" w:styleId="Subtitle">
    <w:name w:val="Subtitle"/>
    <w:basedOn w:val="Normal"/>
    <w:next w:val="Normal"/>
    <w:link w:val="SubtitleChar"/>
    <w:uiPriority w:val="11"/>
    <w:qFormat/>
    <w:rsid w:val="00BB1482"/>
    <w:rPr>
      <w:i/>
      <w:iCs/>
      <w:smallCaps/>
      <w:spacing w:val="10"/>
      <w:sz w:val="28"/>
      <w:szCs w:val="28"/>
    </w:rPr>
  </w:style>
  <w:style w:type="character" w:customStyle="1" w:styleId="SubtitleChar">
    <w:name w:val="Subtitle Char"/>
    <w:basedOn w:val="DefaultParagraphFont"/>
    <w:link w:val="Subtitle"/>
    <w:uiPriority w:val="11"/>
    <w:rsid w:val="00BB1482"/>
    <w:rPr>
      <w:i/>
      <w:iCs/>
      <w:smallCaps/>
      <w:spacing w:val="10"/>
      <w:sz w:val="28"/>
      <w:szCs w:val="28"/>
    </w:rPr>
  </w:style>
  <w:style w:type="character" w:styleId="Strong">
    <w:name w:val="Strong"/>
    <w:uiPriority w:val="22"/>
    <w:qFormat/>
    <w:rsid w:val="00BB1482"/>
    <w:rPr>
      <w:b/>
      <w:bCs/>
    </w:rPr>
  </w:style>
  <w:style w:type="character" w:styleId="Emphasis">
    <w:name w:val="Emphasis"/>
    <w:uiPriority w:val="20"/>
    <w:qFormat/>
    <w:rsid w:val="00BB1482"/>
    <w:rPr>
      <w:b/>
      <w:bCs/>
      <w:i/>
      <w:iCs/>
      <w:spacing w:val="10"/>
    </w:rPr>
  </w:style>
  <w:style w:type="paragraph" w:styleId="NoSpacing">
    <w:name w:val="No Spacing"/>
    <w:basedOn w:val="Normal"/>
    <w:link w:val="NoSpacingChar"/>
    <w:uiPriority w:val="1"/>
    <w:qFormat/>
    <w:rsid w:val="00BB1482"/>
    <w:pPr>
      <w:spacing w:after="0" w:line="240" w:lineRule="auto"/>
    </w:pPr>
  </w:style>
  <w:style w:type="character" w:customStyle="1" w:styleId="NoSpacingChar">
    <w:name w:val="No Spacing Char"/>
    <w:basedOn w:val="DefaultParagraphFont"/>
    <w:link w:val="NoSpacing"/>
    <w:uiPriority w:val="1"/>
    <w:rsid w:val="00BB1482"/>
  </w:style>
  <w:style w:type="paragraph" w:styleId="ListParagraph">
    <w:name w:val="List Paragraph"/>
    <w:basedOn w:val="Normal"/>
    <w:uiPriority w:val="34"/>
    <w:qFormat/>
    <w:rsid w:val="00BB1482"/>
    <w:pPr>
      <w:ind w:left="720"/>
      <w:contextualSpacing/>
    </w:pPr>
  </w:style>
  <w:style w:type="paragraph" w:styleId="Quote">
    <w:name w:val="Quote"/>
    <w:basedOn w:val="Normal"/>
    <w:next w:val="Normal"/>
    <w:link w:val="QuoteChar"/>
    <w:uiPriority w:val="29"/>
    <w:qFormat/>
    <w:rsid w:val="00BB1482"/>
    <w:rPr>
      <w:i/>
      <w:iCs/>
    </w:rPr>
  </w:style>
  <w:style w:type="character" w:customStyle="1" w:styleId="QuoteChar">
    <w:name w:val="Quote Char"/>
    <w:basedOn w:val="DefaultParagraphFont"/>
    <w:link w:val="Quote"/>
    <w:uiPriority w:val="29"/>
    <w:rsid w:val="00BB1482"/>
    <w:rPr>
      <w:i/>
      <w:iCs/>
    </w:rPr>
  </w:style>
  <w:style w:type="paragraph" w:styleId="IntenseQuote">
    <w:name w:val="Intense Quote"/>
    <w:basedOn w:val="Normal"/>
    <w:next w:val="Normal"/>
    <w:link w:val="IntenseQuoteChar"/>
    <w:uiPriority w:val="30"/>
    <w:qFormat/>
    <w:rsid w:val="00BB1482"/>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BB1482"/>
    <w:rPr>
      <w:i/>
      <w:iCs/>
    </w:rPr>
  </w:style>
  <w:style w:type="character" w:styleId="SubtleEmphasis">
    <w:name w:val="Subtle Emphasis"/>
    <w:uiPriority w:val="19"/>
    <w:qFormat/>
    <w:rsid w:val="00BB1482"/>
    <w:rPr>
      <w:i/>
      <w:iCs/>
    </w:rPr>
  </w:style>
  <w:style w:type="character" w:styleId="IntenseEmphasis">
    <w:name w:val="Intense Emphasis"/>
    <w:uiPriority w:val="21"/>
    <w:qFormat/>
    <w:rsid w:val="00BB1482"/>
    <w:rPr>
      <w:b/>
      <w:bCs/>
      <w:i/>
      <w:iCs/>
    </w:rPr>
  </w:style>
  <w:style w:type="character" w:styleId="SubtleReference">
    <w:name w:val="Subtle Reference"/>
    <w:basedOn w:val="DefaultParagraphFont"/>
    <w:uiPriority w:val="31"/>
    <w:qFormat/>
    <w:rsid w:val="00BB1482"/>
    <w:rPr>
      <w:smallCaps/>
    </w:rPr>
  </w:style>
  <w:style w:type="character" w:styleId="IntenseReference">
    <w:name w:val="Intense Reference"/>
    <w:uiPriority w:val="32"/>
    <w:qFormat/>
    <w:rsid w:val="00BB1482"/>
    <w:rPr>
      <w:b/>
      <w:bCs/>
      <w:smallCaps/>
    </w:rPr>
  </w:style>
  <w:style w:type="character" w:styleId="BookTitle">
    <w:name w:val="Book Title"/>
    <w:basedOn w:val="DefaultParagraphFont"/>
    <w:uiPriority w:val="33"/>
    <w:qFormat/>
    <w:rsid w:val="00BB1482"/>
    <w:rPr>
      <w:i/>
      <w:iCs/>
      <w:smallCaps/>
      <w:spacing w:val="5"/>
    </w:rPr>
  </w:style>
  <w:style w:type="paragraph" w:styleId="TOCHeading">
    <w:name w:val="TOC Heading"/>
    <w:basedOn w:val="Heading1"/>
    <w:next w:val="Normal"/>
    <w:uiPriority w:val="39"/>
    <w:semiHidden/>
    <w:unhideWhenUsed/>
    <w:qFormat/>
    <w:rsid w:val="00BB1482"/>
    <w:pPr>
      <w:outlineLvl w:val="9"/>
    </w:pPr>
    <w:rPr>
      <w:lang w:bidi="en-US"/>
    </w:rPr>
  </w:style>
  <w:style w:type="character" w:styleId="Hyperlink">
    <w:name w:val="Hyperlink"/>
    <w:basedOn w:val="DefaultParagraphFont"/>
    <w:uiPriority w:val="99"/>
    <w:unhideWhenUsed/>
    <w:rsid w:val="00324D2A"/>
    <w:rPr>
      <w:color w:val="0000FF" w:themeColor="hyperlink"/>
      <w:u w:val="single"/>
    </w:rPr>
  </w:style>
  <w:style w:type="paragraph" w:styleId="BalloonText">
    <w:name w:val="Balloon Text"/>
    <w:basedOn w:val="Normal"/>
    <w:link w:val="BalloonTextChar"/>
    <w:uiPriority w:val="99"/>
    <w:semiHidden/>
    <w:unhideWhenUsed/>
    <w:rsid w:val="004343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4380"/>
    <w:rPr>
      <w:rFonts w:ascii="Tahoma" w:hAnsi="Tahoma" w:cs="Tahoma"/>
      <w:sz w:val="16"/>
      <w:szCs w:val="16"/>
    </w:rPr>
  </w:style>
  <w:style w:type="paragraph" w:styleId="NormalWeb">
    <w:name w:val="Normal (Web)"/>
    <w:basedOn w:val="Normal"/>
    <w:uiPriority w:val="99"/>
    <w:semiHidden/>
    <w:unhideWhenUsed/>
    <w:rsid w:val="00FC5E3C"/>
    <w:pPr>
      <w:spacing w:before="100" w:beforeAutospacing="1" w:after="100" w:afterAutospacing="1" w:line="240" w:lineRule="auto"/>
    </w:pPr>
    <w:rPr>
      <w:rFonts w:ascii="Times New Roman" w:eastAsia="Times New Roman" w:hAnsi="Times New Roman" w:cs="Times New Roman"/>
      <w:szCs w:val="24"/>
    </w:rPr>
  </w:style>
  <w:style w:type="paragraph" w:styleId="FootnoteText">
    <w:name w:val="footnote text"/>
    <w:basedOn w:val="Normal"/>
    <w:link w:val="FootnoteTextChar"/>
    <w:uiPriority w:val="99"/>
    <w:semiHidden/>
    <w:unhideWhenUsed/>
    <w:rsid w:val="002F7A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F7A15"/>
    <w:rPr>
      <w:sz w:val="20"/>
      <w:szCs w:val="20"/>
    </w:rPr>
  </w:style>
  <w:style w:type="character" w:styleId="FootnoteReference">
    <w:name w:val="footnote reference"/>
    <w:basedOn w:val="DefaultParagraphFont"/>
    <w:uiPriority w:val="99"/>
    <w:semiHidden/>
    <w:unhideWhenUsed/>
    <w:rsid w:val="002F7A15"/>
    <w:rPr>
      <w:vertAlign w:val="superscript"/>
    </w:rPr>
  </w:style>
  <w:style w:type="table" w:styleId="TableGrid">
    <w:name w:val="Table Grid"/>
    <w:basedOn w:val="TableNormal"/>
    <w:uiPriority w:val="59"/>
    <w:rsid w:val="004E76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034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wmf"/><Relationship Id="rId26" Type="http://schemas.openxmlformats.org/officeDocument/2006/relationships/hyperlink" Target="http://www.schrank-zwei.de/suche/" TargetMode="External"/><Relationship Id="rId3" Type="http://schemas.openxmlformats.org/officeDocument/2006/relationships/styles" Target="styles.xml"/><Relationship Id="rId21" Type="http://schemas.openxmlformats.org/officeDocument/2006/relationships/hyperlink" Target="http://digital.slub-dresden.de/listenansicht/" TargetMode="Externa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opac.rism.info/" TargetMode="External"/><Relationship Id="rId29" Type="http://schemas.openxmlformats.org/officeDocument/2006/relationships/hyperlink" Target="http://gallica.bnf.fr/ark:/12148/btv1b84490444/f992.image.r=Machaut.langE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iamm.ac.uk/" TargetMode="External"/><Relationship Id="rId24" Type="http://schemas.openxmlformats.org/officeDocument/2006/relationships/image" Target="media/image8.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wmf"/><Relationship Id="rId23" Type="http://schemas.openxmlformats.org/officeDocument/2006/relationships/hyperlink" Target="http://digital.slub-dresden.de/ppn316139777" TargetMode="External"/><Relationship Id="rId28" Type="http://schemas.openxmlformats.org/officeDocument/2006/relationships/hyperlink" Target="http://gallica.bnf.fr/ark:/12148/btv1b84490444/f992.image.r=Machaut.langEN" TargetMode="External"/><Relationship Id="rId10" Type="http://schemas.openxmlformats.org/officeDocument/2006/relationships/hyperlink" Target="http://www.bach-digital.de" TargetMode="External"/><Relationship Id="rId19" Type="http://schemas.openxmlformats.org/officeDocument/2006/relationships/hyperlink" Target="http://digital.slub-dresden.de/listenansicht/"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D-B%20%5bDeutsche%20Staatsbibliothek%20Berlin%5d%20Mus.%20ms.%20Bach%20P%20269" TargetMode="External"/><Relationship Id="rId14" Type="http://schemas.openxmlformats.org/officeDocument/2006/relationships/image" Target="media/image3.PNG"/><Relationship Id="rId22" Type="http://schemas.openxmlformats.org/officeDocument/2006/relationships/hyperlink" Target="http://opac.rism.info/index.php?id=6&amp;no_cache=1&amp;L=0&amp;tx_bsbsearch_pi1%5Bquery%5D%5B0%5D=RV%20340&amp;tx_bsbsearch_pi1%5Bid%5D=212000183" TargetMode="External"/><Relationship Id="rId27" Type="http://schemas.openxmlformats.org/officeDocument/2006/relationships/hyperlink" Target="http://gallica.bnf.fr/ark:/12148/btv1b84490444/f1000.image.r=Machaut.langEN%20" TargetMode="External"/><Relationship Id="rId30" Type="http://schemas.openxmlformats.org/officeDocument/2006/relationships/hyperlink" Target="http://gallica.bnf.fr/ark:/12148/btv1b6000795k/f422.image.r=Machaut%20messe.lang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9EDCD-A576-4762-843E-49965DD1F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10771</TotalTime>
  <Pages>12</Pages>
  <Words>3535</Words>
  <Characters>20153</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Eleanor</dc:creator>
  <cp:lastModifiedBy>Eleanor</cp:lastModifiedBy>
  <cp:revision>71</cp:revision>
  <dcterms:created xsi:type="dcterms:W3CDTF">2013-02-20T23:40:00Z</dcterms:created>
  <dcterms:modified xsi:type="dcterms:W3CDTF">2013-03-24T00:56:00Z</dcterms:modified>
</cp:coreProperties>
</file>